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6666EA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52B088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5964786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7E6C6D7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20AFA0A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CB40D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Objetivo</w:t>
      </w:r>
      <w:r>
        <w:rPr>
          <w:rStyle w:val="Ninguno"/>
          <w:u w:color="000000"/>
          <w14:textOutline w14:w="12700" w14:cap="flat" w14:cmpd="sng" w14:algn="ctr">
            <w14:noFill/>
            <w14:prstDash w14:val="solid"/>
            <w14:miter w14:lim="400000"/>
          </w14:textOutline>
        </w:rPr>
        <w:t>.</w:t>
      </w:r>
    </w:p>
    <w:p w14:paraId="726B3D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171538D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Metodología</w:t>
      </w:r>
      <w:r>
        <w:rPr>
          <w:rStyle w:val="Ninguno"/>
          <w:u w:color="000000"/>
          <w14:textOutline w14:w="12700" w14:cap="flat" w14:cmpd="sng" w14:algn="ctr">
            <w14:noFill/>
            <w14:prstDash w14:val="solid"/>
            <w14:miter w14:lim="400000"/>
          </w14:textOutline>
        </w:rPr>
        <w:t>.</w:t>
      </w:r>
    </w:p>
    <w:p w14:paraId="048A85B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39AF0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F001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F00F41" w:rsidRDefault="00F17D9A">
      <w:pPr>
        <w:rPr>
          <w:lang w:val="es-CO"/>
        </w:rPr>
      </w:pPr>
    </w:p>
    <w:p w14:paraId="6E1E465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RECURSO EXTRAORDINARIO DE REVISIÓN</w:t>
      </w:r>
      <w:r>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3A7C795"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Trámite</w:t>
      </w:r>
      <w:r>
        <w:rPr>
          <w:rStyle w:val="Ninguno"/>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w:t>
      </w:r>
      <w:r>
        <w:rPr>
          <w:rStyle w:val="Ninguno"/>
          <w:u w:color="000000"/>
          <w14:textOutline w14:w="12700" w14:cap="flat" w14:cmpd="sng" w14:algn="ctr">
            <w14:noFill/>
            <w14:prstDash w14:val="solid"/>
            <w14:miter w14:lim="400000"/>
          </w14:textOutline>
        </w:rPr>
        <w:lastRenderedPageBreak/>
        <w:t>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Default="00E93FC5"/>
    <w:tbl>
      <w:tblPr>
        <w:tblStyle w:val="TableNormal1"/>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B7007A"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07580ECD" w:rsidR="00E93FC5" w:rsidRDefault="00F00F41" w:rsidP="00F00F41">
            <w:pPr>
              <w:jc w:val="center"/>
            </w:pPr>
            <w: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73DE222D" w:rsidR="00E93FC5" w:rsidRPr="00F00F41" w:rsidRDefault="00F00F41" w:rsidP="00E321DA">
            <w:pPr>
              <w:rPr>
                <w:lang w:val="es-CO"/>
              </w:rPr>
            </w:pPr>
            <w:r w:rsidRPr="00F00F41">
              <w:rPr>
                <w:lang w:val="es-CO"/>
              </w:rPr>
              <w:t>Se concederá al recurrente un término de cinco días para subsanar los defectos advertidos</w:t>
            </w:r>
          </w:p>
        </w:tc>
      </w:tr>
      <w:tr w:rsidR="00E93FC5" w:rsidRPr="00B7007A"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2F0B7BD6" w:rsidR="00E93FC5" w:rsidRDefault="00F00F41" w:rsidP="00F00F41">
            <w:pPr>
              <w:jc w:val="center"/>
            </w:pPr>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EC2D7F" w14:textId="358B02C6" w:rsidR="00E93FC5" w:rsidRPr="00F00F41" w:rsidRDefault="00F00F41" w:rsidP="00E321DA">
            <w:pPr>
              <w:rPr>
                <w:lang w:val="es-CO"/>
              </w:rPr>
            </w:pPr>
            <w:r w:rsidRPr="00F00F41">
              <w:rPr>
                <w:lang w:val="es-CO"/>
              </w:rPr>
              <w:t>El recurso se rechazará cuando: 1. No se presente en el término legal. 2. Haya sido formulado por quien carece de legitimación para hacerlo. 3. No se subsanen en término las falencias advertidas en la inadmisión.</w:t>
            </w:r>
          </w:p>
        </w:tc>
      </w:tr>
      <w:tr w:rsidR="00E93FC5" w:rsidRPr="00B7007A"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Default="00E93FC5" w:rsidP="00E321DA">
            <w:pPr>
              <w:pStyle w:val="Cuerpo"/>
              <w:tabs>
                <w:tab w:val="left" w:pos="708"/>
                <w:tab w:val="left" w:pos="1416"/>
                <w:tab w:val="left" w:pos="2124"/>
                <w:tab w:val="left" w:pos="2832"/>
              </w:tabs>
              <w:jc w:val="both"/>
            </w:pPr>
            <w:r>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Default="00E93FC5" w:rsidP="00E321DA">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Default="00E93FC5" w:rsidP="00E321DA">
            <w:pPr>
              <w:pStyle w:val="Cuerpo"/>
              <w:tabs>
                <w:tab w:val="left" w:pos="708"/>
                <w:tab w:val="left" w:pos="1416"/>
                <w:tab w:val="left" w:pos="2124"/>
                <w:tab w:val="left" w:pos="2832"/>
              </w:tabs>
              <w:jc w:val="both"/>
            </w:pPr>
          </w:p>
        </w:tc>
      </w:tr>
      <w:tr w:rsidR="00E93FC5" w:rsidRPr="00B7007A"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F00F41" w:rsidRDefault="00E93FC5" w:rsidP="00E321DA">
            <w:pPr>
              <w:tabs>
                <w:tab w:val="left" w:pos="708"/>
                <w:tab w:val="left" w:pos="1416"/>
                <w:tab w:val="left" w:pos="2124"/>
              </w:tabs>
              <w:rPr>
                <w:lang w:val="es-CO"/>
              </w:rPr>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0827B4FA" w:rsidR="00E93FC5" w:rsidRPr="00F00F41" w:rsidRDefault="00F00F41" w:rsidP="00F00F41">
            <w:pPr>
              <w:jc w:val="center"/>
              <w:rPr>
                <w:lang w:val="es-CO"/>
              </w:rPr>
            </w:pPr>
            <w:r>
              <w:rPr>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6D9E100C" w:rsidR="00E93FC5" w:rsidRPr="00F00F41" w:rsidRDefault="00F00F41" w:rsidP="00E321DA">
            <w:pPr>
              <w:rPr>
                <w:lang w:val="es-CO"/>
              </w:rPr>
            </w:pPr>
            <w:r w:rsidRPr="00F00F41">
              <w:rPr>
                <w:lang w:val="es-CO"/>
              </w:rPr>
              <w:t>Dentro de este trámite no se podrán proponer excepciones previas y tampoco procederá la reforma del recurso de revisión.</w:t>
            </w:r>
          </w:p>
        </w:tc>
      </w:tr>
      <w:tr w:rsidR="00E93FC5" w:rsidRPr="00B7007A"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F00F41" w:rsidRDefault="00E93FC5" w:rsidP="00E321DA">
            <w:pPr>
              <w:tabs>
                <w:tab w:val="left" w:pos="708"/>
                <w:tab w:val="left" w:pos="1416"/>
                <w:tab w:val="left" w:pos="2124"/>
              </w:tabs>
              <w:rPr>
                <w:lang w:val="es-CO"/>
              </w:rPr>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6569B55" w:rsidR="00E93FC5" w:rsidRPr="00F00F41" w:rsidRDefault="00F00F41" w:rsidP="00F00F41">
            <w:pPr>
              <w:jc w:val="center"/>
              <w:rPr>
                <w:lang w:val="es-CO"/>
              </w:rPr>
            </w:pPr>
            <w:r>
              <w:rPr>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223BADA2" w:rsidR="00E93FC5" w:rsidRPr="00F00F41" w:rsidRDefault="00F00F41" w:rsidP="00E321DA">
            <w:pPr>
              <w:rPr>
                <w:lang w:val="es-CO"/>
              </w:rPr>
            </w:pPr>
            <w:r w:rsidRPr="00F00F41">
              <w:rPr>
                <w:lang w:val="es-CO"/>
              </w:rPr>
              <w:t>Estableció que en ningún caso el recurso de revisión suspende el cumplimiento de la sentencia</w:t>
            </w:r>
          </w:p>
        </w:tc>
      </w:tr>
    </w:tbl>
    <w:p w14:paraId="47293B11" w14:textId="7E9668D9" w:rsidR="00E93FC5" w:rsidRPr="00F00F41" w:rsidRDefault="00E93FC5">
      <w:pPr>
        <w:rPr>
          <w:lang w:val="es-CO"/>
        </w:rPr>
      </w:pPr>
    </w:p>
    <w:p w14:paraId="6B414E61" w14:textId="4368E1B0" w:rsidR="00E93FC5" w:rsidRPr="00F00F41" w:rsidRDefault="00E93FC5">
      <w:pPr>
        <w:rPr>
          <w:lang w:val="es-CO"/>
        </w:rPr>
      </w:pPr>
    </w:p>
    <w:p w14:paraId="08C4305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Sentencia</w:t>
      </w:r>
      <w:r>
        <w:rPr>
          <w:rStyle w:val="Ninguno"/>
          <w:u w:color="000000"/>
          <w14:textOutline w14:w="12700" w14:cap="flat" w14:cmpd="sng" w14:algn="ctr">
            <w14:noFill/>
            <w14:prstDash w14:val="solid"/>
            <w14:miter w14:lim="400000"/>
          </w14:textOutline>
        </w:rPr>
        <w:t xml:space="preserve">. El CPACA (artículo 255) simplemente establecía que una vez vencido el periodo probatorio debe dictarse sentencia. La Ley 2080 de 2021 (artículo 70, que modificó el 255 del CPACA) consagra una regulación más completa, que comprende los </w:t>
      </w:r>
      <w:r>
        <w:rPr>
          <w:rStyle w:val="Ninguno"/>
          <w:u w:color="000000"/>
          <w14:textOutline w14:w="12700" w14:cap="flat" w14:cmpd="sng" w14:algn="ctr">
            <w14:noFill/>
            <w14:prstDash w14:val="solid"/>
            <w14:miter w14:lim="400000"/>
          </w14:textOutline>
        </w:rPr>
        <w:lastRenderedPageBreak/>
        <w:t>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Pr>
          <w:rStyle w:val="Ninguno"/>
          <w:u w:color="000000"/>
          <w:lang w:val="it-IT"/>
          <w14:textOutline w14:w="12700" w14:cap="flat" w14:cmpd="sng" w14:algn="ctr">
            <w14:noFill/>
            <w14:prstDash w14:val="solid"/>
            <w14:miter w14:lim="400000"/>
          </w14:textOutline>
        </w:rPr>
        <w:t xml:space="preserve"> numeral </w:t>
      </w:r>
      <w:r>
        <w:rPr>
          <w:rStyle w:val="Ninguno"/>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Pr>
          <w:rStyle w:val="Ninguno"/>
          <w:u w:color="000000"/>
          <w14:textOutline w14:w="12700" w14:cap="flat" w14:cmpd="sng" w14:algn="ctr">
            <w14:noFill/>
            <w14:prstDash w14:val="solid"/>
            <w14:miter w14:lim="400000"/>
          </w14:textOutline>
        </w:rPr>
        <w:t>artí</w:t>
      </w:r>
      <w:proofErr w:type="spellEnd"/>
      <w:r>
        <w:rPr>
          <w:rStyle w:val="Ninguno"/>
          <w:u w:color="000000"/>
          <w:lang w:val="pt-PT"/>
          <w14:textOutline w14:w="12700" w14:cap="flat" w14:cmpd="sng" w14:algn="ctr">
            <w14:noFill/>
            <w14:prstDash w14:val="solid"/>
            <w14:miter w14:lim="400000"/>
          </w14:textOutline>
        </w:rPr>
        <w:t xml:space="preserve">culo 255, inciso </w:t>
      </w:r>
      <w:r>
        <w:rPr>
          <w:rStyle w:val="Ninguno"/>
          <w:u w:color="000000"/>
          <w14:textOutline w14:w="12700" w14:cap="flat" w14:cmpd="sng" w14:algn="ctr">
            <w14:noFill/>
            <w14:prstDash w14:val="solid"/>
            <w14:miter w14:lim="400000"/>
          </w14:textOutline>
        </w:rPr>
        <w:t>3</w:t>
      </w:r>
      <w:r>
        <w:rPr>
          <w:rStyle w:val="Ninguno"/>
          <w:u w:color="000000"/>
          <w:lang w:val="it-IT"/>
          <w14:textOutline w14:w="12700" w14:cap="flat" w14:cmpd="sng" w14:algn="ctr">
            <w14:noFill/>
            <w14:prstDash w14:val="solid"/>
            <w14:miter w14:lim="400000"/>
          </w14:textOutline>
        </w:rPr>
        <w:t>, del CPACA).</w:t>
      </w:r>
    </w:p>
    <w:p w14:paraId="697E185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5799FE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Pr>
          <w:rStyle w:val="Ninguno"/>
          <w:u w:color="000000"/>
          <w14:textOutline w14:w="12700" w14:cap="flat" w14:cmpd="sng" w14:algn="ctr">
            <w14:noFill/>
            <w14:prstDash w14:val="solid"/>
            <w14:miter w14:lim="400000"/>
          </w14:textOutline>
        </w:rPr>
        <w:t>etc</w:t>
      </w:r>
      <w:proofErr w:type="spellEnd"/>
      <w:r>
        <w:rPr>
          <w:rStyle w:val="Ninguno"/>
          <w:u w:color="000000"/>
          <w14:textOutline w14:w="12700" w14:cap="flat" w14:cmpd="sng" w14:algn="ctr">
            <w14:noFill/>
            <w14:prstDash w14:val="solid"/>
            <w14:miter w14:lim="400000"/>
          </w14:textOutline>
        </w:rPr>
        <w:t xml:space="preserve"> y demás consecuencias de dicha invalidación. (</w:t>
      </w:r>
      <w:proofErr w:type="spellStart"/>
      <w:r>
        <w:rPr>
          <w:rStyle w:val="Ninguno"/>
          <w:u w:color="000000"/>
          <w14:textOutline w14:w="12700" w14:cap="flat" w14:cmpd="sng" w14:algn="ctr">
            <w14:noFill/>
            <w14:prstDash w14:val="solid"/>
            <w14:miter w14:lim="400000"/>
          </w14:textOutline>
        </w:rPr>
        <w:t>artí</w:t>
      </w:r>
      <w:proofErr w:type="spellEnd"/>
      <w:r>
        <w:rPr>
          <w:rStyle w:val="Ninguno"/>
          <w:u w:color="000000"/>
          <w:lang w:val="pt-PT"/>
          <w14:textOutline w14:w="12700" w14:cap="flat" w14:cmpd="sng" w14:algn="ctr">
            <w14:noFill/>
            <w14:prstDash w14:val="solid"/>
            <w14:miter w14:lim="400000"/>
          </w14:textOutline>
        </w:rPr>
        <w:t xml:space="preserve">culo 255, inciso </w:t>
      </w:r>
      <w:r>
        <w:rPr>
          <w:rStyle w:val="Ninguno"/>
          <w:u w:color="000000"/>
          <w14:textOutline w14:w="12700" w14:cap="flat" w14:cmpd="sng" w14:algn="ctr">
            <w14:noFill/>
            <w14:prstDash w14:val="solid"/>
            <w14:miter w14:lim="400000"/>
          </w14:textOutline>
        </w:rPr>
        <w:t>2</w:t>
      </w:r>
      <w:r>
        <w:rPr>
          <w:rStyle w:val="Ninguno"/>
          <w:u w:color="000000"/>
          <w:lang w:val="it-IT"/>
          <w14:textOutline w14:w="12700" w14:cap="flat" w14:cmpd="sng" w14:algn="ctr">
            <w14:noFill/>
            <w14:prstDash w14:val="solid"/>
            <w14:miter w14:lim="400000"/>
          </w14:textOutline>
        </w:rPr>
        <w:t>, del CPACA).</w:t>
      </w:r>
      <w:r>
        <w:rPr>
          <w:rStyle w:val="Ningun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12A140" w14:textId="2EC0EA1F" w:rsidR="00E93FC5" w:rsidRDefault="00E93FC5"/>
    <w:p w14:paraId="39E260E2" w14:textId="3CAB8BBA" w:rsidR="00E93FC5" w:rsidRDefault="00E93FC5"/>
    <w:tbl>
      <w:tblPr>
        <w:tblStyle w:val="TableNormal1"/>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Default="00E93FC5" w:rsidP="00E321DA">
            <w:pPr>
              <w:pStyle w:val="Estilodetabla3A"/>
              <w:jc w:val="center"/>
            </w:pPr>
            <w:r>
              <w:rPr>
                <w:rStyle w:val="Ningun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F6F38" w:rsidRDefault="00E93FC5" w:rsidP="00E321DA">
            <w:pPr>
              <w:pStyle w:val="Estilodetabla3A"/>
              <w:jc w:val="center"/>
              <w:rPr>
                <w:rFonts w:asciiTheme="minorHAnsi" w:hAnsiTheme="minorHAnsi"/>
              </w:rPr>
            </w:pPr>
            <w:r w:rsidRPr="00FF6F38">
              <w:rPr>
                <w:rStyle w:val="Ninguno"/>
                <w:rFonts w:asciiTheme="minorHAnsi" w:hAnsiTheme="minorHAnsi"/>
              </w:rPr>
              <w:t>LEY 1437 DE 2011</w:t>
            </w:r>
            <w:r>
              <w:rPr>
                <w:rStyle w:val="Ninguno"/>
                <w:rFonts w:asciiTheme="minorHAnsi" w:hAnsiTheme="minorHAnsi"/>
              </w:rPr>
              <w:t xml:space="preserve">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Default="00E93FC5" w:rsidP="00E321DA">
            <w:pPr>
              <w:pStyle w:val="Estilodetabla3A"/>
              <w:jc w:val="center"/>
            </w:pPr>
            <w:r>
              <w:rPr>
                <w:rStyle w:val="Ninguno"/>
              </w:rPr>
              <w:t xml:space="preserve"> LEY 2080 DE 2021</w:t>
            </w:r>
          </w:p>
        </w:tc>
      </w:tr>
      <w:tr w:rsidR="00E93FC5" w:rsidRPr="00B7007A"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776780" w:rsidRDefault="00E93FC5" w:rsidP="00E321DA">
            <w:pPr>
              <w:pStyle w:val="Estilodetabla2A"/>
              <w:jc w:val="both"/>
              <w:rPr>
                <w:b/>
                <w:bCs/>
              </w:rPr>
            </w:pPr>
            <w:r w:rsidRPr="00776780">
              <w:rPr>
                <w:rStyle w:val="Ninguno"/>
                <w:b/>
                <w:bCs/>
              </w:rPr>
              <w:t>SENTENCIA POR LAS CAUSALES: de los numerales 1 a 4 y 6 a 8 del artículo 250 del CPACA o del literal b) del artículo 20 de la Ley 797 de 2003</w:t>
            </w:r>
            <w:r>
              <w:rPr>
                <w:rStyle w:val="Ninguno"/>
                <w:b/>
                <w:bCs/>
              </w:rPr>
              <w:t>.</w:t>
            </w:r>
            <w:r w:rsidRPr="00776780">
              <w:rPr>
                <w:rStyle w:val="Ninguno"/>
                <w:b/>
                <w:bCs/>
              </w:rPr>
              <w:t xml:space="preserve">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sidRPr="00776780">
              <w:rPr>
                <w:rFonts w:asciiTheme="minorHAnsi" w:hAnsiTheme="minorHAnsi" w:cs="Arial"/>
                <w:color w:val="000000"/>
                <w:u w:val="single"/>
              </w:rPr>
              <w:t>:</w:t>
            </w:r>
          </w:p>
          <w:p w14:paraId="4E214F26"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 xml:space="preserve">2. Haberse dictado la sentencia con fundamento en </w:t>
            </w:r>
            <w:r w:rsidRPr="00FF6F38">
              <w:rPr>
                <w:rFonts w:asciiTheme="minorHAnsi" w:hAnsiTheme="minorHAnsi" w:cs="Arial"/>
                <w:color w:val="000000"/>
              </w:rPr>
              <w:lastRenderedPageBreak/>
              <w:t>documentos falsos o adulterados. </w:t>
            </w:r>
          </w:p>
          <w:p w14:paraId="13656173"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3. Haberse dictado la sentencia con base en dictamen de peritos condenados penalmente por ilícitos cometidos en su expedición. </w:t>
            </w:r>
          </w:p>
          <w:p w14:paraId="335841D5"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4. Haberse dictado sentencia penal que declare que hubo violencia o cohecho en el pronunciamiento de la sentencia. </w:t>
            </w:r>
          </w:p>
          <w:p w14:paraId="5BE2660A"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6. Aparecer, después de dictada la sentencia a favor de una persona, otra con mejor derecho para reclamar. </w:t>
            </w:r>
          </w:p>
          <w:p w14:paraId="1771696C"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p>
          <w:p w14:paraId="2EB5EE50"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b/>
                <w:bCs/>
                <w:color w:val="000000" w:themeColor="text1"/>
                <w:u w:val="single"/>
              </w:rPr>
            </w:pPr>
            <w:r w:rsidRPr="00776780">
              <w:rPr>
                <w:rFonts w:asciiTheme="minorHAnsi" w:hAnsiTheme="minorHAnsi" w:cs="Arial"/>
                <w:b/>
                <w:bCs/>
                <w:color w:val="000000" w:themeColor="text1"/>
                <w:u w:val="single"/>
              </w:rPr>
              <w:t>Artículo 20 de la Ley 797 de 2003:</w:t>
            </w:r>
          </w:p>
          <w:p w14:paraId="148436F3"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a) Cuando el reconocimiento se haya obtenido con violación al debido proceso, y</w:t>
            </w:r>
          </w:p>
          <w:p w14:paraId="2F3CD17C"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lastRenderedPageBreak/>
              <w:t>b) Cuando la cuantía del derecho reconocido excediere lo debido de acuerdo con la ley, pacto o convención colectiva que le eran legalmente aplicables</w:t>
            </w:r>
            <w:r>
              <w:rPr>
                <w:rFonts w:asciiTheme="minorHAnsi" w:hAnsiTheme="minorHAnsi" w:cs="Open Sans"/>
                <w:color w:val="000000" w:themeColor="text1"/>
              </w:rPr>
              <w:t>.</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B3D4748" w14:textId="11FDC365" w:rsidR="00E93FC5" w:rsidRPr="00F00F41" w:rsidRDefault="00F00F41" w:rsidP="00E321DA">
            <w:pPr>
              <w:rPr>
                <w:lang w:val="es-CO"/>
              </w:rPr>
            </w:pPr>
            <w:r w:rsidRPr="00F00F41">
              <w:rPr>
                <w:lang w:val="es-CO"/>
              </w:rPr>
              <w:lastRenderedPageBreak/>
              <w:t>Se mantienen las mismas causales.</w:t>
            </w:r>
          </w:p>
        </w:tc>
      </w:tr>
      <w:tr w:rsidR="00E93FC5" w:rsidRPr="00B7007A"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776780" w:rsidRDefault="00E93FC5" w:rsidP="00E321DA">
            <w:pPr>
              <w:pStyle w:val="Estilodetabla2A"/>
              <w:jc w:val="both"/>
              <w:rPr>
                <w:b/>
                <w:bCs/>
              </w:rPr>
            </w:pPr>
            <w:r w:rsidRPr="00776780">
              <w:rPr>
                <w:rStyle w:val="Ninguno"/>
                <w:b/>
                <w:bCs/>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Pr>
                <w:rFonts w:asciiTheme="minorHAnsi" w:hAnsiTheme="minorHAnsi" w:cs="Arial"/>
                <w:b/>
                <w:bCs/>
                <w:color w:val="000000"/>
                <w:u w:val="single"/>
              </w:rPr>
              <w:t>:</w:t>
            </w:r>
          </w:p>
          <w:p w14:paraId="547D4D8C"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rPr>
            </w:pPr>
            <w:r w:rsidRPr="00776780">
              <w:rPr>
                <w:rFonts w:asciiTheme="minorHAnsi" w:hAnsiTheme="minorHAnsi" w:cs="Arial"/>
                <w:color w:val="000000"/>
              </w:rPr>
              <w:t>5. Existir nulidad originada en la sentencia que puso fin al proceso y contra la que no procede recurso de apelación. </w:t>
            </w:r>
          </w:p>
          <w:p w14:paraId="6614DAE2" w14:textId="77777777" w:rsidR="00E93FC5" w:rsidRPr="00F00F41" w:rsidRDefault="00E93FC5" w:rsidP="00E321DA">
            <w:pPr>
              <w:rPr>
                <w:lang w:val="es-CO"/>
              </w:rPr>
            </w:pPr>
          </w:p>
          <w:p w14:paraId="491E06F0" w14:textId="77777777" w:rsidR="00E93FC5" w:rsidRPr="00F00F41" w:rsidRDefault="00E93FC5" w:rsidP="00E321DA">
            <w:pPr>
              <w:rPr>
                <w:lang w:val="es-CO"/>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52520374" w:rsidR="00E93FC5" w:rsidRPr="00F00F41" w:rsidRDefault="00F00F41" w:rsidP="00E321DA">
            <w:pPr>
              <w:rPr>
                <w:lang w:val="es-CO"/>
              </w:rPr>
            </w:pPr>
            <w:r w:rsidRPr="00F00F41">
              <w:rPr>
                <w:lang w:val="es-CO"/>
              </w:rPr>
              <w:t>Se mantienen las mismas causales.</w:t>
            </w:r>
          </w:p>
        </w:tc>
      </w:tr>
      <w:tr w:rsidR="00E93FC5" w:rsidRPr="00B7007A"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76780" w:rsidRDefault="00E93FC5" w:rsidP="00E321DA">
            <w:pPr>
              <w:pStyle w:val="Estilodetabla2A"/>
              <w:jc w:val="both"/>
              <w:rPr>
                <w:b/>
                <w:bCs/>
              </w:rPr>
            </w:pPr>
            <w:r w:rsidRPr="00776780">
              <w:rPr>
                <w:rStyle w:val="Ninguno"/>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76780" w:rsidRDefault="00E93FC5" w:rsidP="00E321DA">
            <w:pPr>
              <w:jc w:val="center"/>
              <w:rPr>
                <w:rFonts w:asciiTheme="minorHAnsi" w:hAnsiTheme="minorHAnsi"/>
              </w:rPr>
            </w:pPr>
            <w:r w:rsidRPr="00776780">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2C3A3890" w:rsidR="00E93FC5" w:rsidRPr="00F00F41" w:rsidRDefault="00F00F41" w:rsidP="00E321DA">
            <w:pPr>
              <w:rPr>
                <w:lang w:val="es-CO"/>
              </w:rPr>
            </w:pPr>
            <w:r w:rsidRPr="00F00F41">
              <w:rPr>
                <w:lang w:val="es-CO"/>
              </w:rPr>
              <w:t>Se condena en costas y perjuicios al recurrente</w:t>
            </w:r>
          </w:p>
        </w:tc>
      </w:tr>
      <w:tr w:rsidR="00E93FC5" w:rsidRPr="00B7007A"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76780" w:rsidRDefault="00E93FC5" w:rsidP="00E321DA">
            <w:pPr>
              <w:pStyle w:val="Estilodetabla2A"/>
              <w:jc w:val="both"/>
              <w:rPr>
                <w:b/>
                <w:bCs/>
              </w:rPr>
            </w:pPr>
            <w:r w:rsidRPr="00776780">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79BF685B" w:rsidR="00E93FC5" w:rsidRPr="00F00F41" w:rsidRDefault="00F00F41" w:rsidP="00E321DA">
            <w:pPr>
              <w:jc w:val="center"/>
              <w:rPr>
                <w:lang w:val="es-CO"/>
              </w:rPr>
            </w:pPr>
            <w:r>
              <w:rPr>
                <w:lang w:val="es-CO"/>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590CA0B9" w:rsidR="00E93FC5" w:rsidRPr="00F00F41" w:rsidRDefault="00F00F41" w:rsidP="00E321DA">
            <w:pPr>
              <w:rPr>
                <w:lang w:val="es-CO"/>
              </w:rPr>
            </w:pPr>
            <w:r w:rsidRPr="00F00F41">
              <w:rPr>
                <w:lang w:val="es-CO"/>
              </w:rPr>
              <w:t>Se enviará a la autoridad judicial para que expida nueva sentencia, o lo hará el juez que conozca del recurso dependiendo de la causal que se demuestre</w:t>
            </w:r>
          </w:p>
        </w:tc>
      </w:tr>
    </w:tbl>
    <w:p w14:paraId="73E20381" w14:textId="40AD51EA" w:rsidR="00E93FC5" w:rsidRPr="00F00F41" w:rsidRDefault="00E93FC5">
      <w:pPr>
        <w:rPr>
          <w:lang w:val="es-CO"/>
        </w:rPr>
      </w:pPr>
    </w:p>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7ABF5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Respuesta</w:t>
      </w:r>
      <w:r>
        <w:rPr>
          <w:rStyle w:val="Ninguno"/>
          <w:u w:color="000000"/>
          <w14:textOutline w14:w="12700" w14:cap="flat" w14:cmpd="sng" w14:algn="ctr">
            <w14:noFill/>
            <w14:prstDash w14:val="solid"/>
            <w14:miter w14:lim="400000"/>
          </w14:textOutline>
        </w:rPr>
        <w:t>. La norma, en ambos textos, regula este mecanismo, que es la figura procesal mediante la cual se “</w:t>
      </w:r>
      <w:r>
        <w:rPr>
          <w:rStyle w:val="Ninguno"/>
          <w:b/>
          <w:bCs/>
          <w:u w:val="single" w:color="000000"/>
          <w14:textOutline w14:w="12700" w14:cap="flat" w14:cmpd="sng" w14:algn="ctr">
            <w14:noFill/>
            <w14:prstDash w14:val="solid"/>
            <w14:miter w14:lim="400000"/>
          </w14:textOutline>
        </w:rPr>
        <w:t>construye</w:t>
      </w:r>
      <w:r>
        <w:rPr>
          <w:rStyle w:val="Ninguno"/>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FCE0B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3853AA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1) </w:t>
      </w:r>
      <w:r>
        <w:rPr>
          <w:rStyle w:val="Ninguno"/>
          <w:b/>
          <w:bCs/>
          <w:u w:val="single" w:color="000000"/>
          <w14:textOutline w14:w="12700" w14:cap="flat" w14:cmpd="sng" w14:algn="ctr">
            <w14:noFill/>
            <w14:prstDash w14:val="solid"/>
            <w14:miter w14:lim="400000"/>
          </w14:textOutline>
        </w:rPr>
        <w:t>Providencias sobre las que recae el mecanismo</w:t>
      </w:r>
      <w:r>
        <w:rPr>
          <w:rStyle w:val="Ninguno"/>
          <w:u w:color="000000"/>
          <w14:textOutline w14:w="12700" w14:cap="flat" w14:cmpd="sng" w14:algn="ctr">
            <w14:noFill/>
            <w14:prstDash w14:val="solid"/>
            <w14:miter w14:lim="400000"/>
          </w14:textOutline>
        </w:rPr>
        <w:t>. El conocimiento que asume el Consejo de Estado será no sólo de “</w:t>
      </w:r>
      <w:r>
        <w:rPr>
          <w:rStyle w:val="Ninguno"/>
          <w:b/>
          <w:bCs/>
          <w:u w:val="single" w:color="000000"/>
          <w14:textOutline w14:w="12700" w14:cap="flat" w14:cmpd="sng" w14:algn="ctr">
            <w14:noFill/>
            <w14:prstDash w14:val="solid"/>
            <w14:miter w14:lim="400000"/>
          </w14:textOutline>
        </w:rPr>
        <w:t>asuntos pendientes de fallo</w:t>
      </w:r>
      <w:r>
        <w:rPr>
          <w:rStyle w:val="Ninguno"/>
          <w:u w:color="000000"/>
          <w14:textOutline w14:w="12700" w14:cap="flat" w14:cmpd="sng" w14:algn="ctr">
            <w14:noFill/>
            <w14:prstDash w14:val="solid"/>
            <w14:miter w14:lim="400000"/>
          </w14:textOutline>
        </w:rPr>
        <w:t>” sino también de “</w:t>
      </w:r>
      <w:r>
        <w:rPr>
          <w:rStyle w:val="Ninguno"/>
          <w:b/>
          <w:bCs/>
          <w:u w:val="single" w:color="000000"/>
          <w14:textOutline w14:w="12700" w14:cap="flat" w14:cmpd="sng" w14:algn="ctr">
            <w14:noFill/>
            <w14:prstDash w14:val="solid"/>
            <w14:miter w14:lim="400000"/>
          </w14:textOutline>
        </w:rPr>
        <w:t>decisión interlocutoria</w:t>
      </w:r>
      <w:r>
        <w:rPr>
          <w:rStyle w:val="Ningun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Pr>
          <w:rStyle w:val="Ninguno"/>
          <w:b/>
          <w:bCs/>
          <w:u w:val="single" w:color="000000"/>
          <w14:textOutline w14:w="12700" w14:cap="flat" w14:cmpd="sng" w14:algn="ctr">
            <w14:noFill/>
            <w14:prstDash w14:val="solid"/>
            <w14:miter w14:lim="400000"/>
          </w14:textOutline>
        </w:rPr>
        <w:t xml:space="preserve">con los asuntos </w:t>
      </w:r>
      <w:r>
        <w:rPr>
          <w:rStyle w:val="Ninguno"/>
          <w:b/>
          <w:bCs/>
          <w:u w:val="single" w:color="000000"/>
          <w14:textOutline w14:w="12700" w14:cap="flat" w14:cmpd="sng" w14:algn="ctr">
            <w14:noFill/>
            <w14:prstDash w14:val="solid"/>
            <w14:miter w14:lim="400000"/>
          </w14:textOutline>
        </w:rPr>
        <w:lastRenderedPageBreak/>
        <w:t xml:space="preserve">de los despachos </w:t>
      </w:r>
      <w:r>
        <w:rPr>
          <w:rStyle w:val="Ninguno"/>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 </w:t>
      </w:r>
    </w:p>
    <w:p w14:paraId="7EFC1AF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2) </w:t>
      </w:r>
      <w:r>
        <w:rPr>
          <w:rStyle w:val="Ninguno"/>
          <w:b/>
          <w:bCs/>
          <w:u w:val="single" w:color="000000"/>
          <w14:textOutline w14:w="12700" w14:cap="flat" w14:cmpd="sng" w14:algn="ctr">
            <w14:noFill/>
            <w14:prstDash w14:val="solid"/>
            <w14:miter w14:lim="400000"/>
          </w14:textOutline>
        </w:rPr>
        <w:t>Legitimación por activa</w:t>
      </w:r>
      <w:r>
        <w:rPr>
          <w:rStyle w:val="Ningun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Pr>
          <w:rStyle w:val="Ninguno"/>
          <w:b/>
          <w:bCs/>
          <w:u w:val="single" w:color="000000"/>
          <w14:textOutline w14:w="12700" w14:cap="flat" w14:cmpd="sng" w14:algn="ctr">
            <w14:noFill/>
            <w14:prstDash w14:val="solid"/>
            <w14:miter w14:lim="400000"/>
          </w14:textOutline>
        </w:rPr>
        <w:t xml:space="preserve">se agrega la Agencia Nacional de Defensa Jurídica del Estado </w:t>
      </w:r>
      <w:r>
        <w:rPr>
          <w:rStyle w:val="Ninguno"/>
          <w:u w:color="000000"/>
          <w14:textOutline w14:w="12700" w14:cap="flat" w14:cmpd="sng" w14:algn="ctr">
            <w14:noFill/>
            <w14:prstDash w14:val="solid"/>
            <w14:miter w14:lim="400000"/>
          </w14:textOutline>
        </w:rPr>
        <w:t xml:space="preserve">(ANDJE). </w:t>
      </w:r>
    </w:p>
    <w:p w14:paraId="28A3475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AF4340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3) </w:t>
      </w:r>
      <w:r>
        <w:rPr>
          <w:rStyle w:val="Ninguno"/>
          <w:b/>
          <w:bCs/>
          <w:u w:val="single" w:color="000000"/>
          <w14:textOutline w14:w="12700" w14:cap="flat" w14:cmpd="sng" w14:algn="ctr">
            <w14:noFill/>
            <w14:prstDash w14:val="solid"/>
            <w14:miter w14:lim="400000"/>
          </w14:textOutline>
        </w:rPr>
        <w:t>Competencia</w:t>
      </w:r>
      <w:r>
        <w:rPr>
          <w:rStyle w:val="Ningun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859CD0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4) </w:t>
      </w:r>
      <w:r>
        <w:rPr>
          <w:rStyle w:val="Ninguno"/>
          <w:b/>
          <w:bCs/>
          <w:u w:val="single" w:color="000000"/>
          <w14:textOutline w14:w="12700" w14:cap="flat" w14:cmpd="sng" w14:algn="ctr">
            <w14:noFill/>
            <w14:prstDash w14:val="solid"/>
            <w14:miter w14:lim="400000"/>
          </w14:textOutline>
        </w:rPr>
        <w:t>Oportunidad procesal</w:t>
      </w:r>
      <w:r>
        <w:rPr>
          <w:rStyle w:val="Ningun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CE7EED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5) </w:t>
      </w:r>
      <w:r>
        <w:rPr>
          <w:rStyle w:val="Ninguno"/>
          <w:b/>
          <w:bCs/>
          <w:u w:val="single" w:color="000000"/>
          <w14:textOutline w14:w="12700" w14:cap="flat" w14:cmpd="sng" w14:algn="ctr">
            <w14:noFill/>
            <w14:prstDash w14:val="solid"/>
            <w14:miter w14:lim="400000"/>
          </w14:textOutline>
        </w:rPr>
        <w:t>Causales</w:t>
      </w:r>
      <w:r>
        <w:rPr>
          <w:rStyle w:val="Ninguno"/>
          <w:u w:color="000000"/>
          <w14:textOutline w14:w="12700" w14:cap="flat" w14:cmpd="sng" w14:algn="ctr">
            <w14:noFill/>
            <w14:prstDash w14:val="solid"/>
            <w14:miter w14:lim="400000"/>
          </w14:textOutline>
        </w:rPr>
        <w:t xml:space="preserve">. Señala una nueva causal para proceder al mecanismo de unificación de jurisprudencia, a saber, </w:t>
      </w:r>
      <w:r>
        <w:rPr>
          <w:rStyle w:val="Ningun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Pr>
          <w:rStyle w:val="Ningun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A3C34F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6) </w:t>
      </w:r>
      <w:r>
        <w:rPr>
          <w:rStyle w:val="Ninguno"/>
          <w:b/>
          <w:bCs/>
          <w:u w:val="single" w:color="000000"/>
          <w14:textOutline w14:w="12700" w14:cap="flat" w14:cmpd="sng" w14:algn="ctr">
            <w14:noFill/>
            <w14:prstDash w14:val="solid"/>
            <w14:miter w14:lim="400000"/>
          </w14:textOutline>
        </w:rPr>
        <w:t>Mecanismo electrónico de identificación</w:t>
      </w:r>
      <w:r>
        <w:rPr>
          <w:rStyle w:val="Ningun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1"/>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lastRenderedPageBreak/>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B7007A"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F00F41" w:rsidRDefault="00E93FC5" w:rsidP="00E321DA">
            <w:pPr>
              <w:tabs>
                <w:tab w:val="left" w:pos="708"/>
                <w:tab w:val="left" w:pos="1416"/>
                <w:tab w:val="left" w:pos="2124"/>
                <w:tab w:val="left" w:pos="2832"/>
              </w:tabs>
              <w:jc w:val="both"/>
              <w:rPr>
                <w:lang w:val="es-CO"/>
              </w:rPr>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757B315" w14:textId="01F5F9CB" w:rsidR="00E93FC5" w:rsidRPr="00F00F41" w:rsidRDefault="00F00F41" w:rsidP="00E321DA">
            <w:pPr>
              <w:rPr>
                <w:lang w:val="es-CO"/>
              </w:rPr>
            </w:pPr>
            <w:r w:rsidRPr="00F00F41">
              <w:rPr>
                <w:lang w:val="es-CO"/>
              </w:rPr>
              <w:t>De los asuntos pendientes de fallo o de decisión interlocutoria</w:t>
            </w:r>
          </w:p>
        </w:tc>
      </w:tr>
      <w:tr w:rsidR="00E93FC5" w:rsidRPr="00B7007A"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C53144" w14:textId="746BE821" w:rsidR="00E93FC5" w:rsidRPr="00F00F41" w:rsidRDefault="00F00F41" w:rsidP="00E321DA">
            <w:pPr>
              <w:rPr>
                <w:lang w:val="es-CO"/>
              </w:rPr>
            </w:pPr>
            <w:r w:rsidRPr="00F00F41">
              <w:rPr>
                <w:lang w:val="es-CO"/>
              </w:rPr>
              <w:t>El Consejo de Estado de oficio, por remisión de las Secciones o subsecciones del Consejo de Estado, o de los tribunales, a solicitud de parte, o por solicitud de la Agencia Nacional de Defensa Jurídica del Estado o Ministerio Público.</w:t>
            </w:r>
          </w:p>
        </w:tc>
      </w:tr>
      <w:tr w:rsidR="00E93FC5" w:rsidRPr="00B7007A"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E22BF" w14:textId="28B7C94D" w:rsidR="00E93FC5" w:rsidRPr="00F00F41" w:rsidRDefault="00F00F41" w:rsidP="00E321DA">
            <w:pPr>
              <w:rPr>
                <w:lang w:val="es-CO"/>
              </w:rPr>
            </w:pPr>
            <w:r w:rsidRPr="00F00F41">
              <w:rPr>
                <w:lang w:val="es-CO"/>
              </w:rPr>
              <w:t>Sala Plena de los Contencioso Administrativo del Consejo de Estado. Las secciones de la Sala de lo Contencioso Administrativo del Consejo de Estado cuando provengan de las subsecciones de la corporación, de los despachos de los magistrados que las integran o de los tribunales</w:t>
            </w:r>
          </w:p>
        </w:tc>
      </w:tr>
      <w:tr w:rsidR="00E93FC5" w:rsidRPr="00B7007A"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65AD4CB2" w:rsidR="00E93FC5" w:rsidRPr="00F00F41" w:rsidRDefault="00F00F41" w:rsidP="00E321DA">
            <w:pPr>
              <w:rPr>
                <w:lang w:val="es-CO"/>
              </w:rPr>
            </w:pPr>
            <w:r w:rsidRPr="00F00F41">
              <w:rPr>
                <w:lang w:val="es-CO"/>
              </w:rPr>
              <w:t xml:space="preserve">Hasta antes de que se registre ponencia de fallo, si la solicitud proviene de la Agencia Nacional de Defensa Jurídica del Estado. Si la solicitud proviene del Consejo de Estado, del Tribunal Administrativo o MP este </w:t>
            </w:r>
            <w:proofErr w:type="spellStart"/>
            <w:r w:rsidRPr="00F00F41">
              <w:rPr>
                <w:lang w:val="es-CO"/>
              </w:rPr>
              <w:t>podráformularse</w:t>
            </w:r>
            <w:proofErr w:type="spellEnd"/>
            <w:r w:rsidRPr="00F00F41">
              <w:rPr>
                <w:lang w:val="es-CO"/>
              </w:rPr>
              <w:t xml:space="preserve"> sin la limitación temporal anteriormente mencionada.</w:t>
            </w:r>
          </w:p>
        </w:tc>
      </w:tr>
      <w:tr w:rsidR="00E93FC5" w:rsidRPr="00B7007A"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7CDB96CA" w:rsidR="00E93FC5" w:rsidRPr="00F00F41" w:rsidRDefault="00F00F41" w:rsidP="00E321DA">
            <w:pPr>
              <w:rPr>
                <w:lang w:val="es-CO"/>
              </w:rPr>
            </w:pPr>
            <w:r w:rsidRPr="00F00F41">
              <w:rPr>
                <w:lang w:val="es-CO"/>
              </w:rPr>
              <w:t>Por importancia jurídica, trascendencia económica o social o necesidad de sentar jurisprudencia o precisar su alcance o resolver las divergencias de su interpretación y aplicación.</w:t>
            </w:r>
          </w:p>
        </w:tc>
      </w:tr>
      <w:tr w:rsidR="00E93FC5" w:rsidRPr="00B7007A"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7FBEBCAA" w:rsidR="00E93FC5" w:rsidRPr="00F00F41" w:rsidRDefault="00F00F41" w:rsidP="00E321DA">
            <w:pPr>
              <w:rPr>
                <w:lang w:val="es-CO"/>
              </w:rPr>
            </w:pPr>
            <w:r w:rsidRPr="00F00F41">
              <w:rPr>
                <w:lang w:val="es-CO"/>
              </w:rPr>
              <w:t>El Consejo de Estado deberá implementar un mecanismo electrónico que permita comunicar y alertar a sus integrantes y a la comunidad en general respecto de aquellas materias o temas que estén en trámite en la Corporación</w:t>
            </w:r>
            <w:r>
              <w:rPr>
                <w:lang w:val="es-CO"/>
              </w:rPr>
              <w:t>.</w:t>
            </w:r>
          </w:p>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Pr="00F00F41" w:rsidRDefault="00E93FC5">
      <w:pPr>
        <w:rPr>
          <w:lang w:val="es-CO"/>
        </w:rPr>
      </w:pPr>
    </w:p>
    <w:sectPr w:rsidR="00E93FC5" w:rsidRPr="00F00F4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D68F" w14:textId="77777777" w:rsidR="00B0550D" w:rsidRDefault="00B0550D" w:rsidP="00431A7C">
      <w:r>
        <w:separator/>
      </w:r>
    </w:p>
  </w:endnote>
  <w:endnote w:type="continuationSeparator" w:id="0">
    <w:p w14:paraId="193C4C95" w14:textId="77777777" w:rsidR="00B0550D" w:rsidRDefault="00B0550D"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495E6" w14:textId="77777777" w:rsidR="00B0550D" w:rsidRDefault="00B0550D" w:rsidP="00431A7C">
      <w:r>
        <w:separator/>
      </w:r>
    </w:p>
  </w:footnote>
  <w:footnote w:type="continuationSeparator" w:id="0">
    <w:p w14:paraId="237E7724" w14:textId="77777777" w:rsidR="00B0550D" w:rsidRDefault="00B0550D"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A56E3"/>
    <w:rsid w:val="000E036C"/>
    <w:rsid w:val="00431A7C"/>
    <w:rsid w:val="00980357"/>
    <w:rsid w:val="00B0550D"/>
    <w:rsid w:val="00B7007A"/>
    <w:rsid w:val="00CF5193"/>
    <w:rsid w:val="00E93FC5"/>
    <w:rsid w:val="00F00F41"/>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1">
    <w:name w:val="Table Normal1"/>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Header">
    <w:name w:val="header"/>
    <w:basedOn w:val="Normal"/>
    <w:link w:val="HeaderChar"/>
    <w:uiPriority w:val="99"/>
    <w:unhideWhenUsed/>
    <w:rsid w:val="00431A7C"/>
    <w:pPr>
      <w:tabs>
        <w:tab w:val="center" w:pos="4252"/>
        <w:tab w:val="right" w:pos="8504"/>
      </w:tabs>
    </w:pPr>
  </w:style>
  <w:style w:type="character" w:customStyle="1" w:styleId="HeaderChar">
    <w:name w:val="Header Char"/>
    <w:basedOn w:val="DefaultParagraphFont"/>
    <w:link w:val="Header"/>
    <w:uiPriority w:val="99"/>
    <w:rsid w:val="00431A7C"/>
    <w:rPr>
      <w:rFonts w:ascii="Times New Roman" w:eastAsia="Arial Unicode MS" w:hAnsi="Times New Roman" w:cs="Times New Roman"/>
      <w:bdr w:val="nil"/>
      <w:lang w:val="en-US"/>
    </w:rPr>
  </w:style>
  <w:style w:type="paragraph" w:styleId="Footer">
    <w:name w:val="footer"/>
    <w:basedOn w:val="Normal"/>
    <w:link w:val="FooterChar"/>
    <w:uiPriority w:val="99"/>
    <w:unhideWhenUsed/>
    <w:rsid w:val="00431A7C"/>
    <w:pPr>
      <w:tabs>
        <w:tab w:val="center" w:pos="4252"/>
        <w:tab w:val="right" w:pos="8504"/>
      </w:tabs>
    </w:pPr>
  </w:style>
  <w:style w:type="character" w:customStyle="1" w:styleId="FooterChar">
    <w:name w:val="Footer Char"/>
    <w:basedOn w:val="DefaultParagraphFont"/>
    <w:link w:val="Footer"/>
    <w:uiPriority w:val="99"/>
    <w:rsid w:val="00431A7C"/>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2123</Words>
  <Characters>12105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Yida Ximena Mora Silva</cp:lastModifiedBy>
  <cp:revision>3</cp:revision>
  <dcterms:created xsi:type="dcterms:W3CDTF">2021-09-17T20:45:00Z</dcterms:created>
  <dcterms:modified xsi:type="dcterms:W3CDTF">2021-09-17T20:46:00Z</dcterms:modified>
</cp:coreProperties>
</file>