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1062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u w:color="000000"/>
        </w:rPr>
      </w:pPr>
      <w:r>
        <w:rPr>
          <w:rStyle w:val="Ninguno"/>
          <w:rFonts w:ascii="Helvetica" w:hAnsi="Helvetica"/>
          <w:b/>
          <w:bCs/>
          <w:u w:color="000000"/>
        </w:rPr>
        <w:t>EQUIPO ESTRUCTURADOR PARA LOS TALLERES DE CAPACITACIÓN E IMPLEMENTACIÓN DE LA LEY 2080 DE 2021 (Resolución PCSJSR21-048 de 24 de mayo de 2021. Consejo Superior de la Judicatura)</w:t>
      </w:r>
      <w:r>
        <w:rPr>
          <w:rStyle w:val="Ninguno"/>
          <w:rFonts w:ascii="Helvetica" w:hAnsi="Helvetica"/>
          <w:u w:color="000000"/>
        </w:rPr>
        <w:t> </w:t>
      </w:r>
    </w:p>
    <w:p w14:paraId="76666EA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b/>
          <w:bCs/>
          <w:u w:val="single" w:color="000000"/>
          <w14:textOutline w14:w="12700" w14:cap="flat" w14:cmpd="sng" w14:algn="ctr">
            <w14:noFill/>
            <w14:prstDash w14:val="solid"/>
            <w14:miter w14:lim="400000"/>
          </w14:textOutline>
        </w:rPr>
      </w:pPr>
    </w:p>
    <w:p w14:paraId="52B08829"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b/>
          <w:bCs/>
          <w:sz w:val="22"/>
          <w:szCs w:val="22"/>
          <w:u w:color="000000"/>
          <w14:textOutline w14:w="12700" w14:cap="flat" w14:cmpd="sng" w14:algn="ctr">
            <w14:noFill/>
            <w14:prstDash w14:val="solid"/>
            <w14:miter w14:lim="400000"/>
          </w14:textOutline>
        </w:rPr>
      </w:pPr>
    </w:p>
    <w:p w14:paraId="5964786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b/>
          <w:bCs/>
          <w:sz w:val="22"/>
          <w:szCs w:val="22"/>
          <w:u w:color="000000"/>
          <w14:textOutline w14:w="12700" w14:cap="flat" w14:cmpd="sng" w14:algn="ctr">
            <w14:noFill/>
            <w14:prstDash w14:val="solid"/>
            <w14:miter w14:lim="400000"/>
          </w14:textOutline>
        </w:rPr>
      </w:pPr>
    </w:p>
    <w:p w14:paraId="7E6C6D72"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b/>
          <w:bCs/>
          <w:u w:val="single" w:color="000000"/>
          <w14:textOutline w14:w="12700" w14:cap="flat" w14:cmpd="sng" w14:algn="ctr">
            <w14:noFill/>
            <w14:prstDash w14:val="solid"/>
            <w14:miter w14:lim="400000"/>
          </w14:textOutline>
        </w:rPr>
      </w:pPr>
      <w:r>
        <w:rPr>
          <w:rStyle w:val="Ninguno"/>
          <w:rFonts w:ascii="Helvetica" w:hAnsi="Helvetica"/>
          <w:b/>
          <w:bCs/>
          <w:sz w:val="22"/>
          <w:szCs w:val="22"/>
          <w:u w:color="000000"/>
          <w14:textOutline w14:w="12700" w14:cap="flat" w14:cmpd="sng" w14:algn="ctr">
            <w14:noFill/>
            <w14:prstDash w14:val="solid"/>
            <w14:miter w14:lim="400000"/>
          </w14:textOutline>
        </w:rPr>
        <w:t>TALLER SOBRE RECURSOS EXTRAORDINARIOS DE LA MESA DE ESTUDIO No. 3. (Trabajo asincrónico)</w:t>
      </w:r>
      <w:r>
        <w:rPr>
          <w:rStyle w:val="Ninguno"/>
          <w:rFonts w:ascii="Helvetica" w:eastAsia="Helvetica" w:hAnsi="Helvetica" w:cs="Helvetica"/>
          <w:b/>
          <w:bCs/>
          <w:sz w:val="22"/>
          <w:szCs w:val="22"/>
          <w:u w:color="000000"/>
          <w14:textOutline w14:w="12700" w14:cap="flat" w14:cmpd="sng" w14:algn="ctr">
            <w14:noFill/>
            <w14:prstDash w14:val="solid"/>
            <w14:miter w14:lim="400000"/>
          </w14:textOutline>
        </w:rPr>
        <w:br/>
      </w:r>
    </w:p>
    <w:p w14:paraId="20AFA0AF"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0CB40D3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Objetivo</w:t>
      </w:r>
      <w:r>
        <w:rPr>
          <w:rStyle w:val="Ninguno"/>
          <w:u w:color="000000"/>
          <w14:textOutline w14:w="12700" w14:cap="flat" w14:cmpd="sng" w14:algn="ctr">
            <w14:noFill/>
            <w14:prstDash w14:val="solid"/>
            <w14:miter w14:lim="400000"/>
          </w14:textOutline>
        </w:rPr>
        <w:t>.</w:t>
      </w:r>
    </w:p>
    <w:p w14:paraId="726B3D22"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szCs w:val="22"/>
          <w:u w:color="000000"/>
          <w14:textOutline w14:w="12700" w14:cap="flat" w14:cmpd="sng" w14:algn="ctr">
            <w14:noFill/>
            <w14:prstDash w14:val="solid"/>
            <w14:miter w14:lim="400000"/>
          </w14:textOutline>
        </w:rPr>
      </w:pPr>
    </w:p>
    <w:p w14:paraId="171538DD"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Identificar, en un ejercicio comparativo de textos legales, subrogados y vigentes, las normas que regulan el trámite del recurso extraordinario de revisión y del mecanismo de unificación de jurisprudencia.</w:t>
      </w:r>
    </w:p>
    <w:p w14:paraId="24334556"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DF7BFE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Metodología</w:t>
      </w:r>
      <w:r>
        <w:rPr>
          <w:rStyle w:val="Ninguno"/>
          <w:u w:color="000000"/>
          <w14:textOutline w14:w="12700" w14:cap="flat" w14:cmpd="sng" w14:algn="ctr">
            <w14:noFill/>
            <w14:prstDash w14:val="solid"/>
            <w14:miter w14:lim="400000"/>
          </w14:textOutline>
        </w:rPr>
        <w:t>.</w:t>
      </w:r>
    </w:p>
    <w:p w14:paraId="048A85BF"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139AF07"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Se han seleccionado para el trabajo asincrónico el recurso extraordinario de revisión y el mecanismo de unificación de jurisprudencia.</w:t>
      </w:r>
    </w:p>
    <w:p w14:paraId="2CFC73B0"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6BEF001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Se invita a los Discentes a que lean en forma comparada la antigua y la nueva regulación aplicables y a que diligencien los cuadros comparativos que se indicarán, más adelante, en los que habrán de indicar las modificaciones más importantes que se introducen por la Ley 2080 de 2021.</w:t>
      </w:r>
    </w:p>
    <w:p w14:paraId="37EAA95C" w14:textId="7601D58C" w:rsidR="00F17D9A" w:rsidRDefault="00F17D9A"/>
    <w:p w14:paraId="6E1E4659"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EJERCICIO 1. RECURSO EXTRAORDINARIO DE REVISIÓN</w:t>
      </w:r>
      <w:r>
        <w:rPr>
          <w:rStyle w:val="Ninguno"/>
          <w:u w:color="000000"/>
          <w14:textOutline w14:w="12700" w14:cap="flat" w14:cmpd="sng" w14:algn="ctr">
            <w14:noFill/>
            <w14:prstDash w14:val="solid"/>
            <w14:miter w14:lim="400000"/>
          </w14:textOutline>
        </w:rPr>
        <w:t xml:space="preserve">. Se recomienda presentar el siguiente contexto a los discentes, sin perjuicio de que pueda ser ampliado por el formador. </w:t>
      </w:r>
    </w:p>
    <w:p w14:paraId="1A7DB57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63A7C795"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Se introdujeron reformas en cuanto al trámite del recurso y a la sentencia. Se mantienen sin modificación los demás aspectos, a saber, la procedencia del recurso, el competente para su conocimiento, las causales, el término para interponerlo, los requisitos y las pruebas. Cabe recordar que este es un recurso típico de los tribunales supremos. Constituye una excepción al principio de inmutabilidad de las sentencias que hacen tránsito a cosa juzgada, porque a través de él se abre la posibilidad de controvertir fallos ejecutoriados si se configuran las causales del artículo 250 del CPACA que, en general, buscan la expedición de un fallo justo cuando esa posibilidad se ha visto frustrada por razones determinadas.</w:t>
      </w:r>
    </w:p>
    <w:p w14:paraId="36A09D29"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4AB9F54D"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Trámite</w:t>
      </w:r>
      <w:r>
        <w:rPr>
          <w:rStyle w:val="Ninguno"/>
          <w:u w:color="000000"/>
          <w14:textOutline w14:w="12700" w14:cap="flat" w14:cmpd="sng" w14:algn="ctr">
            <w14:noFill/>
            <w14:prstDash w14:val="solid"/>
            <w14:miter w14:lim="400000"/>
          </w14:textOutline>
        </w:rPr>
        <w:t xml:space="preserve">. El CPACA (artículo 253) contemplaba una regulación breve del trámite. La nueva establece: 1) La inadmisión del recurso. 2) Las causales de rechazo. 3) La notificación personal del auto </w:t>
      </w:r>
      <w:proofErr w:type="spellStart"/>
      <w:r>
        <w:rPr>
          <w:rStyle w:val="Ninguno"/>
          <w:u w:color="000000"/>
          <w14:textOutline w14:w="12700" w14:cap="flat" w14:cmpd="sng" w14:algn="ctr">
            <w14:noFill/>
            <w14:prstDash w14:val="solid"/>
            <w14:miter w14:lim="400000"/>
          </w14:textOutline>
        </w:rPr>
        <w:t>admisorio</w:t>
      </w:r>
      <w:proofErr w:type="spellEnd"/>
      <w:r>
        <w:rPr>
          <w:rStyle w:val="Ninguno"/>
          <w:u w:color="000000"/>
          <w14:textOutline w14:w="12700" w14:cap="flat" w14:cmpd="sng" w14:algn="ctr">
            <w14:noFill/>
            <w14:prstDash w14:val="solid"/>
            <w14:miter w14:lim="400000"/>
          </w14:textOutline>
        </w:rPr>
        <w:t xml:space="preserve"> del recurso a la contraparte y al Ministerio Público para que lo contesten y pidan pruebas en un lapso de 10 días. Esta disposición ya existía en la regulación anterior y se mantiene en la nueva. 4) Dispone </w:t>
      </w:r>
      <w:r>
        <w:rPr>
          <w:rStyle w:val="Ninguno"/>
          <w:u w:color="000000"/>
          <w14:textOutline w14:w="12700" w14:cap="flat" w14:cmpd="sng" w14:algn="ctr">
            <w14:noFill/>
            <w14:prstDash w14:val="solid"/>
            <w14:miter w14:lim="400000"/>
          </w14:textOutline>
        </w:rPr>
        <w:lastRenderedPageBreak/>
        <w:t>que no podrán proponerse excepciones previas ni procederá la reforma del recurso. 5) Establece que en ningún caso el trámite del recurso de revisión suspende el cumplimiento de la sentencia.</w:t>
      </w:r>
    </w:p>
    <w:p w14:paraId="5B0468C8"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334AA61"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Los Discentes deberán diligenciar el cuadro que a continuación se presenta, señalando las variaciones en los aspectos procesales que allí se indican. Como ejemplo, se encuentra diligenciada la casilla que corresponde a uno de tales aspectos procesales, el relativo a la notificación del auto </w:t>
      </w:r>
      <w:proofErr w:type="spellStart"/>
      <w:r>
        <w:rPr>
          <w:rStyle w:val="Ninguno"/>
          <w:u w:color="000000"/>
          <w14:textOutline w14:w="12700" w14:cap="flat" w14:cmpd="sng" w14:algn="ctr">
            <w14:noFill/>
            <w14:prstDash w14:val="solid"/>
            <w14:miter w14:lim="400000"/>
          </w14:textOutline>
        </w:rPr>
        <w:t>admisorio</w:t>
      </w:r>
      <w:proofErr w:type="spellEnd"/>
      <w:r>
        <w:rPr>
          <w:rStyle w:val="Ninguno"/>
          <w:u w:color="000000"/>
          <w14:textOutline w14:w="12700" w14:cap="flat" w14:cmpd="sng" w14:algn="ctr">
            <w14:noFill/>
            <w14:prstDash w14:val="solid"/>
            <w14:miter w14:lim="400000"/>
          </w14:textOutline>
        </w:rPr>
        <w:t>. Es posible que en algunos aspectos procesales se advierta que no hay regulación. En tal evento, deberá indicarlo con una equis (X).</w:t>
      </w:r>
    </w:p>
    <w:p w14:paraId="3F6A5A7D" w14:textId="1AE10FD6" w:rsidR="00E93FC5" w:rsidRDefault="00E93FC5"/>
    <w:tbl>
      <w:tblPr>
        <w:tblStyle w:val="TableNormal"/>
        <w:tblW w:w="85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2648"/>
        <w:gridCol w:w="3085"/>
        <w:gridCol w:w="2835"/>
      </w:tblGrid>
      <w:tr w:rsidR="00E93FC5" w14:paraId="2D79B471" w14:textId="77777777" w:rsidTr="000A56E3">
        <w:trPr>
          <w:trHeight w:val="324"/>
          <w:tblHeader/>
          <w:jc w:val="center"/>
        </w:trPr>
        <w:tc>
          <w:tcPr>
            <w:tcW w:w="2648"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3CBC91B" w14:textId="77777777" w:rsidR="00E93FC5" w:rsidRDefault="00E93FC5" w:rsidP="00E321DA">
            <w:pPr>
              <w:keepNext/>
              <w:tabs>
                <w:tab w:val="left" w:pos="708"/>
                <w:tab w:val="left" w:pos="1416"/>
                <w:tab w:val="left" w:pos="2124"/>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ASPECTO PROCESAL</w:t>
            </w:r>
          </w:p>
        </w:tc>
        <w:tc>
          <w:tcPr>
            <w:tcW w:w="308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0BEEC0B1"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1437 DE 2011</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6162FC66"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2080 DE 2021</w:t>
            </w:r>
          </w:p>
        </w:tc>
      </w:tr>
      <w:tr w:rsidR="00E93FC5" w14:paraId="67A87BF5" w14:textId="77777777" w:rsidTr="000A56E3">
        <w:tblPrEx>
          <w:shd w:val="clear" w:color="auto" w:fill="CDD4E9"/>
        </w:tblPrEx>
        <w:trPr>
          <w:trHeight w:val="489"/>
          <w:jc w:val="center"/>
        </w:trPr>
        <w:tc>
          <w:tcPr>
            <w:tcW w:w="2648"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10C0F4B"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INADMISIÓN DEL RECURSO</w:t>
            </w:r>
          </w:p>
        </w:tc>
        <w:tc>
          <w:tcPr>
            <w:tcW w:w="308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6B38B96" w14:textId="77777777" w:rsidR="00E93FC5" w:rsidRDefault="00E93FC5" w:rsidP="00E321DA"/>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0FEBD14" w14:textId="77777777" w:rsidR="00E93FC5" w:rsidRDefault="00E93FC5" w:rsidP="00E321DA"/>
        </w:tc>
      </w:tr>
      <w:tr w:rsidR="00E93FC5" w14:paraId="469A677C" w14:textId="77777777" w:rsidTr="000A56E3">
        <w:tblPrEx>
          <w:shd w:val="clear" w:color="auto" w:fill="CDD4E9"/>
        </w:tblPrEx>
        <w:trPr>
          <w:trHeight w:val="48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5A86216"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CAUSALES DE RECHAZO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7C7B809" w14:textId="77777777" w:rsidR="00E93FC5" w:rsidRDefault="00E93FC5" w:rsidP="00E321DA"/>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3EC2D7F" w14:textId="77777777" w:rsidR="00E93FC5" w:rsidRDefault="00E93FC5" w:rsidP="00E321DA"/>
        </w:tc>
      </w:tr>
      <w:tr w:rsidR="00E93FC5" w14:paraId="11483C3F" w14:textId="77777777" w:rsidTr="000A56E3">
        <w:tblPrEx>
          <w:shd w:val="clear" w:color="auto" w:fill="CDD4E9"/>
        </w:tblPrEx>
        <w:trPr>
          <w:trHeight w:val="2203"/>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C80CDC0"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NOTIFICACIÓN AUTO ADMISORIO</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4620016" w14:textId="77777777" w:rsidR="00E93FC5" w:rsidRDefault="00E93FC5" w:rsidP="00E321DA">
            <w:pPr>
              <w:pStyle w:val="Cuerpo"/>
              <w:tabs>
                <w:tab w:val="left" w:pos="708"/>
                <w:tab w:val="left" w:pos="1416"/>
                <w:tab w:val="left" w:pos="2124"/>
                <w:tab w:val="left" w:pos="2832"/>
              </w:tabs>
              <w:jc w:val="both"/>
            </w:pPr>
            <w:r>
              <w:rPr>
                <w:rStyle w:val="Ninguno"/>
                <w:sz w:val="20"/>
                <w:szCs w:val="20"/>
                <w:u w:color="000000"/>
              </w:rPr>
              <w:t>Se notificará personalmente a la contraparte y al Ministerio Público para que lo contesten, si a bien tienen, y pidan pruebas, dentro del término de diez (10) días.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EAA34D2" w14:textId="77777777" w:rsidR="00E93FC5" w:rsidRDefault="00E93FC5" w:rsidP="00E321DA">
            <w:pPr>
              <w:pStyle w:val="Cuerpo"/>
              <w:tabs>
                <w:tab w:val="left" w:pos="708"/>
                <w:tab w:val="left" w:pos="1416"/>
                <w:tab w:val="left" w:pos="2124"/>
                <w:tab w:val="left" w:pos="2832"/>
              </w:tabs>
              <w:jc w:val="both"/>
              <w:rPr>
                <w:rStyle w:val="Ninguno"/>
                <w:sz w:val="20"/>
                <w:szCs w:val="20"/>
                <w:u w:color="000000"/>
              </w:rPr>
            </w:pPr>
            <w:r>
              <w:rPr>
                <w:rStyle w:val="Ninguno"/>
                <w:sz w:val="20"/>
                <w:szCs w:val="20"/>
                <w:u w:color="000000"/>
              </w:rPr>
              <w:t>Se notificará personalmente a la contraparte y al Ministerio Público para que lo contesten dentro de los diez (10) días siguientes, si a bien lo tienen, y pidan pruebas.  </w:t>
            </w:r>
          </w:p>
          <w:p w14:paraId="02B91431" w14:textId="77777777" w:rsidR="00E93FC5" w:rsidRDefault="00E93FC5" w:rsidP="00E321DA">
            <w:pPr>
              <w:pStyle w:val="Cuerpo"/>
              <w:tabs>
                <w:tab w:val="left" w:pos="708"/>
                <w:tab w:val="left" w:pos="1416"/>
                <w:tab w:val="left" w:pos="2124"/>
                <w:tab w:val="left" w:pos="2832"/>
              </w:tabs>
              <w:jc w:val="both"/>
            </w:pPr>
          </w:p>
        </w:tc>
      </w:tr>
      <w:tr w:rsidR="00E93FC5" w14:paraId="337DE55F"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B3C0952"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EXCEPCIONES PREVIAS Y REFORMA DEL RECURSO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93E3D64" w14:textId="77777777" w:rsidR="00E93FC5" w:rsidRDefault="00E93FC5" w:rsidP="00E321DA"/>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C624C9" w14:textId="77777777" w:rsidR="00E93FC5" w:rsidRDefault="00E93FC5" w:rsidP="00E321DA"/>
        </w:tc>
      </w:tr>
      <w:tr w:rsidR="00E93FC5" w14:paraId="65D3B696"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FD549BF"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 xml:space="preserve">SUSPENSIÓN CUMPLIMIENTO DE LA SENTENCIA </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47B153B" w14:textId="77777777" w:rsidR="00E93FC5" w:rsidRDefault="00E93FC5" w:rsidP="00E321DA"/>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0EA4130" w14:textId="77777777" w:rsidR="00E93FC5" w:rsidRDefault="00E93FC5" w:rsidP="00E321DA"/>
        </w:tc>
      </w:tr>
    </w:tbl>
    <w:p w14:paraId="47293B11" w14:textId="7E9668D9" w:rsidR="00E93FC5" w:rsidRDefault="00E93FC5"/>
    <w:p w14:paraId="6B414E61" w14:textId="4368E1B0" w:rsidR="00E93FC5" w:rsidRDefault="00E93FC5"/>
    <w:p w14:paraId="08C43050"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Sentencia</w:t>
      </w:r>
      <w:r>
        <w:rPr>
          <w:rStyle w:val="Ninguno"/>
          <w:u w:color="000000"/>
          <w14:textOutline w14:w="12700" w14:cap="flat" w14:cmpd="sng" w14:algn="ctr">
            <w14:noFill/>
            <w14:prstDash w14:val="solid"/>
            <w14:miter w14:lim="400000"/>
          </w14:textOutline>
        </w:rPr>
        <w:t>. El CPACA (artículo 255) simplemente establecía que una vez vencido el periodo probatorio debe dictarse sentencia. La Ley 2080 de 2021 (artículo 70, que modificó el 255 del CPACA) consagra una regulación más completa, que comprende los siguientes aspectos: 1) Indica cuáles son los ordenamientos de la sentencia de revisión, cuando se encuentre fundada alguna de las causales de los numerales 1 a 4 y 6 a 8 del artículo 250 del CPACA o la del literal b) del artículo 20 de la Ley 797 de 2003 (artículo 255, inciso 1, del CPACA). Tales ordenamientos son: invalidar la sentencia recurrida y dictar la que en derecho corresponda. 2) Indica cuáles son los ordenamientos de la sentencia de revisión, cuando se encuentre fundada la causal del</w:t>
      </w:r>
      <w:r>
        <w:rPr>
          <w:rStyle w:val="Ninguno"/>
          <w:u w:color="000000"/>
          <w:lang w:val="it-IT"/>
          <w14:textOutline w14:w="12700" w14:cap="flat" w14:cmpd="sng" w14:algn="ctr">
            <w14:noFill/>
            <w14:prstDash w14:val="solid"/>
            <w14:miter w14:lim="400000"/>
          </w14:textOutline>
        </w:rPr>
        <w:t xml:space="preserve"> </w:t>
      </w:r>
      <w:proofErr w:type="spellStart"/>
      <w:r>
        <w:rPr>
          <w:rStyle w:val="Ninguno"/>
          <w:u w:color="000000"/>
          <w:lang w:val="it-IT"/>
          <w14:textOutline w14:w="12700" w14:cap="flat" w14:cmpd="sng" w14:algn="ctr">
            <w14:noFill/>
            <w14:prstDash w14:val="solid"/>
            <w14:miter w14:lim="400000"/>
          </w14:textOutline>
        </w:rPr>
        <w:t>numeral</w:t>
      </w:r>
      <w:proofErr w:type="spellEnd"/>
      <w:r>
        <w:rPr>
          <w:rStyle w:val="Ninguno"/>
          <w:u w:color="000000"/>
          <w:lang w:val="it-IT"/>
          <w14:textOutline w14:w="12700" w14:cap="flat" w14:cmpd="sng" w14:algn="ctr">
            <w14:noFill/>
            <w14:prstDash w14:val="solid"/>
            <w14:miter w14:lim="400000"/>
          </w14:textOutline>
        </w:rPr>
        <w:t xml:space="preserve"> </w:t>
      </w:r>
      <w:r>
        <w:rPr>
          <w:rStyle w:val="Ninguno"/>
          <w:u w:color="000000"/>
          <w14:textOutline w14:w="12700" w14:cap="flat" w14:cmpd="sng" w14:algn="ctr">
            <w14:noFill/>
            <w14:prstDash w14:val="solid"/>
            <w14:miter w14:lim="400000"/>
          </w14:textOutline>
        </w:rPr>
        <w:t xml:space="preserve">5 del artículo 250 del CPACA o la del literal a) del artículo 20 de la Ley 797 de 2003. Tales ordenamientos son: declarar la nulidad de </w:t>
      </w:r>
      <w:r>
        <w:rPr>
          <w:rStyle w:val="Ninguno"/>
          <w:u w:color="000000"/>
          <w14:textOutline w14:w="12700" w14:cap="flat" w14:cmpd="sng" w14:algn="ctr">
            <w14:noFill/>
            <w14:prstDash w14:val="solid"/>
            <w14:miter w14:lim="400000"/>
          </w14:textOutline>
        </w:rPr>
        <w:lastRenderedPageBreak/>
        <w:t>la sentencia o de la actuación afectada por la causal que dio lugar al recurso de revisión y devolver el proceso al juzgador de origen para que rehaga lo actuado o dicte sentencia de nuevo. 3) Preceptúa que si se declara infundado el recurso se condenará en costas y perjuicios al recurrente (</w:t>
      </w:r>
      <w:proofErr w:type="spellStart"/>
      <w:r>
        <w:rPr>
          <w:rStyle w:val="Ninguno"/>
          <w:u w:color="000000"/>
          <w14:textOutline w14:w="12700" w14:cap="flat" w14:cmpd="sng" w14:algn="ctr">
            <w14:noFill/>
            <w14:prstDash w14:val="solid"/>
            <w14:miter w14:lim="400000"/>
          </w14:textOutline>
        </w:rPr>
        <w:t>artí</w:t>
      </w:r>
      <w:r>
        <w:rPr>
          <w:rStyle w:val="Ninguno"/>
          <w:u w:color="000000"/>
          <w:lang w:val="pt-PT"/>
          <w14:textOutline w14:w="12700" w14:cap="flat" w14:cmpd="sng" w14:algn="ctr">
            <w14:noFill/>
            <w14:prstDash w14:val="solid"/>
            <w14:miter w14:lim="400000"/>
          </w14:textOutline>
        </w:rPr>
        <w:t>culo</w:t>
      </w:r>
      <w:proofErr w:type="spellEnd"/>
      <w:r>
        <w:rPr>
          <w:rStyle w:val="Ninguno"/>
          <w:u w:color="000000"/>
          <w:lang w:val="pt-PT"/>
          <w14:textOutline w14:w="12700" w14:cap="flat" w14:cmpd="sng" w14:algn="ctr">
            <w14:noFill/>
            <w14:prstDash w14:val="solid"/>
            <w14:miter w14:lim="400000"/>
          </w14:textOutline>
        </w:rPr>
        <w:t xml:space="preserve"> 255, inciso </w:t>
      </w:r>
      <w:r>
        <w:rPr>
          <w:rStyle w:val="Ninguno"/>
          <w:u w:color="000000"/>
          <w14:textOutline w14:w="12700" w14:cap="flat" w14:cmpd="sng" w14:algn="ctr">
            <w14:noFill/>
            <w14:prstDash w14:val="solid"/>
            <w14:miter w14:lim="400000"/>
          </w14:textOutline>
        </w:rPr>
        <w:t>3</w:t>
      </w:r>
      <w:r>
        <w:rPr>
          <w:rStyle w:val="Ninguno"/>
          <w:u w:color="000000"/>
          <w:lang w:val="it-IT"/>
          <w14:textOutline w14:w="12700" w14:cap="flat" w14:cmpd="sng" w14:algn="ctr">
            <w14:noFill/>
            <w14:prstDash w14:val="solid"/>
            <w14:miter w14:lim="400000"/>
          </w14:textOutline>
        </w:rPr>
        <w:t>, del CPACA).</w:t>
      </w:r>
    </w:p>
    <w:p w14:paraId="697E185D"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25799FE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Igualmente, dispone que en la sentencia que invalide la decisión revisada se resolverá sobre las restituciones, cancelaciones, perjuicios, </w:t>
      </w:r>
      <w:proofErr w:type="spellStart"/>
      <w:r>
        <w:rPr>
          <w:rStyle w:val="Ninguno"/>
          <w:u w:color="000000"/>
          <w14:textOutline w14:w="12700" w14:cap="flat" w14:cmpd="sng" w14:algn="ctr">
            <w14:noFill/>
            <w14:prstDash w14:val="solid"/>
            <w14:miter w14:lim="400000"/>
          </w14:textOutline>
        </w:rPr>
        <w:t>etc</w:t>
      </w:r>
      <w:proofErr w:type="spellEnd"/>
      <w:r>
        <w:rPr>
          <w:rStyle w:val="Ninguno"/>
          <w:u w:color="000000"/>
          <w14:textOutline w14:w="12700" w14:cap="flat" w14:cmpd="sng" w14:algn="ctr">
            <w14:noFill/>
            <w14:prstDash w14:val="solid"/>
            <w14:miter w14:lim="400000"/>
          </w14:textOutline>
        </w:rPr>
        <w:t xml:space="preserve"> y demás consecuencias de dicha invalidación. (</w:t>
      </w:r>
      <w:proofErr w:type="spellStart"/>
      <w:r>
        <w:rPr>
          <w:rStyle w:val="Ninguno"/>
          <w:u w:color="000000"/>
          <w14:textOutline w14:w="12700" w14:cap="flat" w14:cmpd="sng" w14:algn="ctr">
            <w14:noFill/>
            <w14:prstDash w14:val="solid"/>
            <w14:miter w14:lim="400000"/>
          </w14:textOutline>
        </w:rPr>
        <w:t>artí</w:t>
      </w:r>
      <w:r>
        <w:rPr>
          <w:rStyle w:val="Ninguno"/>
          <w:u w:color="000000"/>
          <w:lang w:val="pt-PT"/>
          <w14:textOutline w14:w="12700" w14:cap="flat" w14:cmpd="sng" w14:algn="ctr">
            <w14:noFill/>
            <w14:prstDash w14:val="solid"/>
            <w14:miter w14:lim="400000"/>
          </w14:textOutline>
        </w:rPr>
        <w:t>culo</w:t>
      </w:r>
      <w:proofErr w:type="spellEnd"/>
      <w:r>
        <w:rPr>
          <w:rStyle w:val="Ninguno"/>
          <w:u w:color="000000"/>
          <w:lang w:val="pt-PT"/>
          <w14:textOutline w14:w="12700" w14:cap="flat" w14:cmpd="sng" w14:algn="ctr">
            <w14:noFill/>
            <w14:prstDash w14:val="solid"/>
            <w14:miter w14:lim="400000"/>
          </w14:textOutline>
        </w:rPr>
        <w:t xml:space="preserve"> 255, inciso </w:t>
      </w:r>
      <w:r>
        <w:rPr>
          <w:rStyle w:val="Ninguno"/>
          <w:u w:color="000000"/>
          <w14:textOutline w14:w="12700" w14:cap="flat" w14:cmpd="sng" w14:algn="ctr">
            <w14:noFill/>
            <w14:prstDash w14:val="solid"/>
            <w14:miter w14:lim="400000"/>
          </w14:textOutline>
        </w:rPr>
        <w:t>2</w:t>
      </w:r>
      <w:r>
        <w:rPr>
          <w:rStyle w:val="Ninguno"/>
          <w:u w:color="000000"/>
          <w:lang w:val="it-IT"/>
          <w14:textOutline w14:w="12700" w14:cap="flat" w14:cmpd="sng" w14:algn="ctr">
            <w14:noFill/>
            <w14:prstDash w14:val="solid"/>
            <w14:miter w14:lim="400000"/>
          </w14:textOutline>
        </w:rPr>
        <w:t>, del CPACA).</w:t>
      </w:r>
      <w:r>
        <w:rPr>
          <w:rStyle w:val="Ninguno"/>
          <w:u w:color="000000"/>
          <w14:textOutline w14:w="12700" w14:cap="flat" w14:cmpd="sng" w14:algn="ctr">
            <w14:noFill/>
            <w14:prstDash w14:val="solid"/>
            <w14:miter w14:lim="400000"/>
          </w14:textOutline>
        </w:rPr>
        <w:t xml:space="preserve"> Si en el expediente no hay prueba para la condena en concreto, esta se hará en abstracto y se dará cumplimiento al artículo 193 del CPACA.</w:t>
      </w:r>
    </w:p>
    <w:p w14:paraId="45F8AC80"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6FFE71D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Los Discentes deberán diligenciar el cuadro que a continuación se presenta, indicando las variaciones en los aspectos procesales que allí se indican. Es posible que en algunos casos advierta que no hay regulación sobre dicho aspecto procesal. En tal evento deberá indicarlo con una equis (X).</w:t>
      </w:r>
    </w:p>
    <w:p w14:paraId="0F61CF39"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D12A140" w14:textId="2EC0EA1F" w:rsidR="00E93FC5" w:rsidRDefault="00E93FC5"/>
    <w:p w14:paraId="39E260E2" w14:textId="3CAB8BBA" w:rsidR="00E93FC5" w:rsidRDefault="00E93FC5"/>
    <w:tbl>
      <w:tblPr>
        <w:tblStyle w:val="TableNormal"/>
        <w:tblW w:w="856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755"/>
        <w:gridCol w:w="2693"/>
      </w:tblGrid>
      <w:tr w:rsidR="00E93FC5" w14:paraId="18D30E3B" w14:textId="77777777" w:rsidTr="00E321DA">
        <w:trPr>
          <w:trHeight w:val="314"/>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F562569" w14:textId="77777777" w:rsidR="00E93FC5" w:rsidRDefault="00E93FC5" w:rsidP="00E321DA">
            <w:pPr>
              <w:pStyle w:val="Estilodetabla3A"/>
              <w:jc w:val="center"/>
            </w:pPr>
            <w:r>
              <w:rPr>
                <w:rStyle w:val="Ninguno"/>
              </w:rPr>
              <w:t>ASPECTOS PROCESALES</w:t>
            </w:r>
          </w:p>
        </w:tc>
        <w:tc>
          <w:tcPr>
            <w:tcW w:w="275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46E5FC92" w14:textId="13AC4854" w:rsidR="00E93FC5" w:rsidRPr="00FF6F38" w:rsidRDefault="00E93FC5" w:rsidP="00E321DA">
            <w:pPr>
              <w:pStyle w:val="Estilodetabla3A"/>
              <w:jc w:val="center"/>
              <w:rPr>
                <w:rFonts w:asciiTheme="minorHAnsi" w:hAnsiTheme="minorHAnsi"/>
              </w:rPr>
            </w:pPr>
            <w:r w:rsidRPr="00FF6F38">
              <w:rPr>
                <w:rStyle w:val="Ninguno"/>
                <w:rFonts w:asciiTheme="minorHAnsi" w:hAnsiTheme="minorHAnsi"/>
              </w:rPr>
              <w:t>LEY 1437 DE 2011</w:t>
            </w:r>
            <w:r>
              <w:rPr>
                <w:rStyle w:val="Ninguno"/>
                <w:rFonts w:asciiTheme="minorHAnsi" w:hAnsiTheme="minorHAnsi"/>
              </w:rPr>
              <w:t xml:space="preserve"> (texto original)</w:t>
            </w:r>
          </w:p>
        </w:tc>
        <w:tc>
          <w:tcPr>
            <w:tcW w:w="2693"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00174C34" w14:textId="77777777" w:rsidR="00E93FC5" w:rsidRDefault="00E93FC5" w:rsidP="00E321DA">
            <w:pPr>
              <w:pStyle w:val="Estilodetabla3A"/>
              <w:jc w:val="center"/>
            </w:pPr>
            <w:r>
              <w:rPr>
                <w:rStyle w:val="Ninguno"/>
              </w:rPr>
              <w:t xml:space="preserve"> LEY 2080 DE 2021</w:t>
            </w:r>
          </w:p>
        </w:tc>
      </w:tr>
      <w:tr w:rsidR="00E93FC5" w:rsidRPr="00A87B7F" w14:paraId="08E468B4" w14:textId="77777777" w:rsidTr="00E321DA">
        <w:tblPrEx>
          <w:shd w:val="clear" w:color="auto" w:fill="CDD4E9"/>
        </w:tblPrEx>
        <w:trPr>
          <w:trHeight w:val="1489"/>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3D5AEC5" w14:textId="77777777" w:rsidR="00E93FC5" w:rsidRPr="00776780" w:rsidRDefault="00E93FC5" w:rsidP="00E321DA">
            <w:pPr>
              <w:pStyle w:val="Estilodetabla2A"/>
              <w:jc w:val="both"/>
              <w:rPr>
                <w:b/>
                <w:bCs/>
              </w:rPr>
            </w:pPr>
            <w:r w:rsidRPr="00776780">
              <w:rPr>
                <w:rStyle w:val="Ninguno"/>
                <w:b/>
                <w:bCs/>
              </w:rPr>
              <w:t>SENTENCIA POR LAS CAUSALES: de los numerales 1 a 4 y 6 a 8 del artículo 250 del CPACA o del literal b) del artículo 20 de la Ley 797 de 2003</w:t>
            </w:r>
            <w:r>
              <w:rPr>
                <w:rStyle w:val="Ninguno"/>
                <w:b/>
                <w:bCs/>
              </w:rPr>
              <w:t>.</w:t>
            </w:r>
            <w:r w:rsidRPr="00776780">
              <w:rPr>
                <w:rStyle w:val="Ninguno"/>
                <w:b/>
                <w:bCs/>
              </w:rPr>
              <w:t xml:space="preserve"> </w:t>
            </w:r>
          </w:p>
        </w:tc>
        <w:tc>
          <w:tcPr>
            <w:tcW w:w="275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79EB20B" w14:textId="77777777" w:rsidR="00E93FC5" w:rsidRPr="00776780" w:rsidRDefault="00E93FC5" w:rsidP="00E321DA">
            <w:pPr>
              <w:pStyle w:val="NormalWeb"/>
              <w:spacing w:before="0" w:beforeAutospacing="0" w:after="144" w:afterAutospacing="0" w:line="254" w:lineRule="atLeast"/>
              <w:jc w:val="both"/>
              <w:rPr>
                <w:rFonts w:asciiTheme="minorHAnsi" w:hAnsiTheme="minorHAnsi" w:cs="Arial"/>
                <w:color w:val="000000"/>
                <w:u w:val="single"/>
              </w:rPr>
            </w:pPr>
            <w:r w:rsidRPr="00776780">
              <w:rPr>
                <w:rFonts w:asciiTheme="minorHAnsi" w:hAnsiTheme="minorHAnsi" w:cs="Arial"/>
                <w:b/>
                <w:bCs/>
                <w:color w:val="000000"/>
                <w:u w:val="single"/>
              </w:rPr>
              <w:t>Artículo 250 del CPACA</w:t>
            </w:r>
            <w:r w:rsidRPr="00776780">
              <w:rPr>
                <w:rFonts w:asciiTheme="minorHAnsi" w:hAnsiTheme="minorHAnsi" w:cs="Arial"/>
                <w:color w:val="000000"/>
                <w:u w:val="single"/>
              </w:rPr>
              <w:t>:</w:t>
            </w:r>
          </w:p>
          <w:p w14:paraId="4E214F26"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1. Haberse encontrado o recobrado después de dictada la sentencia documentos decisivos, con los cuales se hubiera podido proferir una decisión diferente y que el recurrente no pudo aportarlos al proceso por fuerza mayor o caso fortuito o por obra de la parte contraria. </w:t>
            </w:r>
          </w:p>
          <w:p w14:paraId="6EE64802"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2. Haberse dictado la sentencia con fundamento en documentos falsos o adulterados. </w:t>
            </w:r>
          </w:p>
          <w:p w14:paraId="13656173"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3. Haberse dictado la sentencia con base en dictamen de peritos condenados penalmente por ilícitos cometidos en su expedición. </w:t>
            </w:r>
          </w:p>
          <w:p w14:paraId="335841D5"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 xml:space="preserve">4. Haberse dictado sentencia penal que declare que hubo violencia o cohecho en el </w:t>
            </w:r>
            <w:r w:rsidRPr="00FF6F38">
              <w:rPr>
                <w:rFonts w:asciiTheme="minorHAnsi" w:hAnsiTheme="minorHAnsi" w:cs="Arial"/>
                <w:color w:val="000000"/>
              </w:rPr>
              <w:lastRenderedPageBreak/>
              <w:t>pronunciamiento de la sentencia. </w:t>
            </w:r>
          </w:p>
          <w:p w14:paraId="5BE2660A"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6. Aparecer, después de dictada la sentencia a favor de una persona, otra con mejor derecho para reclamar. </w:t>
            </w:r>
          </w:p>
          <w:p w14:paraId="1771696C"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7. No tener la persona en cuyo favor se decretó una prestación periódica, al tiempo del reconocimiento, la aptitud legal necesaria o perder esa aptitud con posterioridad a la sentencia o sobrevenir alguna de las causales legales para su pérdida.</w:t>
            </w:r>
          </w:p>
          <w:p w14:paraId="74E61B43" w14:textId="77777777" w:rsidR="00E93FC5"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8. Ser la sentencia contraria a otra anterior que constituya cosa juzgada entre las partes del proceso en que aquella fue dictada. Sin embargo, no habrá lugar a revisión si en el segundo proceso se propuso la excepción de cosa juzgada y fue rechazada. </w:t>
            </w:r>
          </w:p>
          <w:p w14:paraId="3AB0E109" w14:textId="77777777" w:rsidR="00E93FC5" w:rsidRDefault="00E93FC5" w:rsidP="00E321DA">
            <w:pPr>
              <w:pStyle w:val="NormalWeb"/>
              <w:spacing w:before="0" w:beforeAutospacing="0" w:after="144" w:afterAutospacing="0" w:line="254" w:lineRule="atLeast"/>
              <w:jc w:val="both"/>
              <w:rPr>
                <w:rFonts w:asciiTheme="minorHAnsi" w:hAnsiTheme="minorHAnsi" w:cs="Arial"/>
                <w:color w:val="000000"/>
              </w:rPr>
            </w:pPr>
          </w:p>
          <w:p w14:paraId="2EB5EE50" w14:textId="77777777" w:rsidR="00E93FC5" w:rsidRPr="00776780" w:rsidRDefault="00E93FC5" w:rsidP="00E321DA">
            <w:pPr>
              <w:pStyle w:val="NormalWeb"/>
              <w:spacing w:before="0" w:beforeAutospacing="0" w:after="144" w:afterAutospacing="0" w:line="254" w:lineRule="atLeast"/>
              <w:jc w:val="both"/>
              <w:rPr>
                <w:rFonts w:asciiTheme="minorHAnsi" w:hAnsiTheme="minorHAnsi" w:cs="Arial"/>
                <w:b/>
                <w:bCs/>
                <w:color w:val="000000" w:themeColor="text1"/>
                <w:u w:val="single"/>
              </w:rPr>
            </w:pPr>
            <w:r w:rsidRPr="00776780">
              <w:rPr>
                <w:rFonts w:asciiTheme="minorHAnsi" w:hAnsiTheme="minorHAnsi" w:cs="Arial"/>
                <w:b/>
                <w:bCs/>
                <w:color w:val="000000" w:themeColor="text1"/>
                <w:u w:val="single"/>
              </w:rPr>
              <w:t>Artículo 20 de la Ley 797 de 2003:</w:t>
            </w:r>
          </w:p>
          <w:p w14:paraId="148436F3" w14:textId="77777777" w:rsidR="00E93FC5" w:rsidRPr="00776780" w:rsidRDefault="00E93FC5" w:rsidP="00E321DA">
            <w:pPr>
              <w:pStyle w:val="NormalWeb"/>
              <w:spacing w:line="270" w:lineRule="atLeast"/>
              <w:jc w:val="both"/>
              <w:rPr>
                <w:rFonts w:asciiTheme="minorHAnsi" w:hAnsiTheme="minorHAnsi" w:cs="Open Sans"/>
                <w:color w:val="000000" w:themeColor="text1"/>
              </w:rPr>
            </w:pPr>
            <w:r w:rsidRPr="00776780">
              <w:rPr>
                <w:rFonts w:asciiTheme="minorHAnsi" w:hAnsiTheme="minorHAnsi" w:cs="Open Sans"/>
                <w:color w:val="000000" w:themeColor="text1"/>
              </w:rPr>
              <w:t>a) Cuando el reconocimiento se haya obtenido con violación al debido proceso, y</w:t>
            </w:r>
          </w:p>
          <w:p w14:paraId="2F3CD17C" w14:textId="77777777" w:rsidR="00E93FC5" w:rsidRPr="00776780" w:rsidRDefault="00E93FC5" w:rsidP="00E321DA">
            <w:pPr>
              <w:pStyle w:val="NormalWeb"/>
              <w:spacing w:line="270" w:lineRule="atLeast"/>
              <w:jc w:val="both"/>
              <w:rPr>
                <w:rFonts w:asciiTheme="minorHAnsi" w:hAnsiTheme="minorHAnsi" w:cs="Open Sans"/>
                <w:color w:val="000000" w:themeColor="text1"/>
              </w:rPr>
            </w:pPr>
            <w:r w:rsidRPr="00776780">
              <w:rPr>
                <w:rFonts w:asciiTheme="minorHAnsi" w:hAnsiTheme="minorHAnsi" w:cs="Open Sans"/>
                <w:color w:val="000000" w:themeColor="text1"/>
              </w:rPr>
              <w:t>b) Cuando la cuantía del derecho reconocido excediere lo debido de acuerdo con la ley, pacto o convención colectiva que le eran legalmente aplicables</w:t>
            </w:r>
            <w:r>
              <w:rPr>
                <w:rFonts w:asciiTheme="minorHAnsi" w:hAnsiTheme="minorHAnsi" w:cs="Open Sans"/>
                <w:color w:val="000000" w:themeColor="text1"/>
              </w:rPr>
              <w:t>.</w:t>
            </w:r>
          </w:p>
        </w:tc>
        <w:tc>
          <w:tcPr>
            <w:tcW w:w="269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B3D4748" w14:textId="77777777" w:rsidR="00E93FC5" w:rsidRPr="00B815C6" w:rsidRDefault="00E93FC5" w:rsidP="00E321DA"/>
        </w:tc>
      </w:tr>
      <w:tr w:rsidR="00E93FC5" w:rsidRPr="00A87B7F" w14:paraId="48493BC8" w14:textId="77777777" w:rsidTr="00E321DA">
        <w:tblPrEx>
          <w:shd w:val="clear" w:color="auto" w:fill="CDD4E9"/>
        </w:tblPrEx>
        <w:trPr>
          <w:trHeight w:val="12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D91892C" w14:textId="77777777" w:rsidR="00E93FC5" w:rsidRPr="00776780" w:rsidRDefault="00E93FC5" w:rsidP="00E321DA">
            <w:pPr>
              <w:pStyle w:val="Estilodetabla2A"/>
              <w:jc w:val="both"/>
              <w:rPr>
                <w:b/>
                <w:bCs/>
              </w:rPr>
            </w:pPr>
            <w:r w:rsidRPr="00776780">
              <w:rPr>
                <w:rStyle w:val="Ninguno"/>
                <w:b/>
                <w:bCs/>
              </w:rPr>
              <w:t xml:space="preserve">SENTENCIA POR LAS CAUSALES: del numeral 5 del artículo 250 del CPACA o del literal a) del artículo 20 de la Ley 797 de 2003. </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483747" w14:textId="766CD236" w:rsidR="00E93FC5" w:rsidRPr="00776780" w:rsidRDefault="00E93FC5" w:rsidP="00E321DA">
            <w:pPr>
              <w:pStyle w:val="NormalWeb"/>
              <w:spacing w:before="0" w:beforeAutospacing="0" w:after="144" w:afterAutospacing="0" w:line="254" w:lineRule="atLeast"/>
              <w:jc w:val="both"/>
              <w:rPr>
                <w:rFonts w:asciiTheme="minorHAnsi" w:hAnsiTheme="minorHAnsi" w:cs="Arial"/>
                <w:color w:val="000000"/>
                <w:u w:val="single"/>
              </w:rPr>
            </w:pPr>
            <w:r w:rsidRPr="00776780">
              <w:rPr>
                <w:rFonts w:asciiTheme="minorHAnsi" w:hAnsiTheme="minorHAnsi" w:cs="Arial"/>
                <w:b/>
                <w:bCs/>
                <w:color w:val="000000"/>
                <w:u w:val="single"/>
              </w:rPr>
              <w:t>Artículo 250 del CPACA</w:t>
            </w:r>
            <w:r>
              <w:rPr>
                <w:rFonts w:asciiTheme="minorHAnsi" w:hAnsiTheme="minorHAnsi" w:cs="Arial"/>
                <w:b/>
                <w:bCs/>
                <w:color w:val="000000"/>
                <w:u w:val="single"/>
              </w:rPr>
              <w:t>:</w:t>
            </w:r>
          </w:p>
          <w:p w14:paraId="547D4D8C" w14:textId="77777777" w:rsidR="00E93FC5" w:rsidRPr="00776780" w:rsidRDefault="00E93FC5" w:rsidP="00E321DA">
            <w:pPr>
              <w:pStyle w:val="NormalWeb"/>
              <w:spacing w:before="0" w:beforeAutospacing="0" w:after="144" w:afterAutospacing="0" w:line="254" w:lineRule="atLeast"/>
              <w:jc w:val="both"/>
              <w:rPr>
                <w:rFonts w:asciiTheme="minorHAnsi" w:hAnsiTheme="minorHAnsi" w:cs="Arial"/>
                <w:color w:val="000000"/>
              </w:rPr>
            </w:pPr>
            <w:r w:rsidRPr="00776780">
              <w:rPr>
                <w:rFonts w:asciiTheme="minorHAnsi" w:hAnsiTheme="minorHAnsi" w:cs="Arial"/>
                <w:color w:val="000000"/>
              </w:rPr>
              <w:t xml:space="preserve">5. Existir nulidad originada en la sentencia que puso fin al </w:t>
            </w:r>
            <w:r w:rsidRPr="00776780">
              <w:rPr>
                <w:rFonts w:asciiTheme="minorHAnsi" w:hAnsiTheme="minorHAnsi" w:cs="Arial"/>
                <w:color w:val="000000"/>
              </w:rPr>
              <w:lastRenderedPageBreak/>
              <w:t>proceso y contra la que no procede recurso de apelación. </w:t>
            </w:r>
          </w:p>
          <w:p w14:paraId="6614DAE2" w14:textId="77777777" w:rsidR="00E93FC5" w:rsidRDefault="00E93FC5" w:rsidP="00E321DA"/>
          <w:p w14:paraId="491E06F0" w14:textId="77777777" w:rsidR="00E93FC5" w:rsidRPr="00B815C6" w:rsidRDefault="00E93FC5" w:rsidP="00E321DA"/>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FFD022D" w14:textId="77777777" w:rsidR="00E93FC5" w:rsidRPr="00B815C6" w:rsidRDefault="00E93FC5" w:rsidP="00E321DA"/>
        </w:tc>
      </w:tr>
      <w:tr w:rsidR="00E93FC5" w:rsidRPr="00A87B7F" w14:paraId="44662C8E"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C8753C7" w14:textId="77777777" w:rsidR="00E93FC5" w:rsidRPr="00776780" w:rsidRDefault="00E93FC5" w:rsidP="00E321DA">
            <w:pPr>
              <w:pStyle w:val="Estilodetabla2A"/>
              <w:jc w:val="both"/>
              <w:rPr>
                <w:b/>
                <w:bCs/>
              </w:rPr>
            </w:pPr>
            <w:r w:rsidRPr="00776780">
              <w:rPr>
                <w:rStyle w:val="Ninguno"/>
                <w:b/>
                <w:bCs/>
              </w:rPr>
              <w:t>EFECTOS de declarar infundado 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EA5D741" w14:textId="77777777" w:rsidR="00E93FC5" w:rsidRPr="00776780" w:rsidRDefault="00E93FC5" w:rsidP="00E321DA">
            <w:pPr>
              <w:jc w:val="center"/>
              <w:rPr>
                <w:rFonts w:asciiTheme="minorHAnsi" w:hAnsiTheme="minorHAnsi"/>
              </w:rPr>
            </w:pPr>
            <w:r w:rsidRPr="00776780">
              <w:rPr>
                <w:rFonts w:asciiTheme="minorHAnsi" w:hAnsiTheme="minorHAnsi"/>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B3FA9E9" w14:textId="77777777" w:rsidR="00E93FC5" w:rsidRPr="00B815C6" w:rsidRDefault="00E93FC5" w:rsidP="00E321DA"/>
        </w:tc>
      </w:tr>
      <w:tr w:rsidR="00E93FC5" w:rsidRPr="00A87B7F" w14:paraId="2FAF8F23"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EC8266B" w14:textId="77777777" w:rsidR="00E93FC5" w:rsidRPr="00776780" w:rsidRDefault="00E93FC5" w:rsidP="00E321DA">
            <w:pPr>
              <w:pStyle w:val="Estilodetabla2A"/>
              <w:jc w:val="both"/>
              <w:rPr>
                <w:b/>
                <w:bCs/>
              </w:rPr>
            </w:pPr>
            <w:r w:rsidRPr="00776780">
              <w:rPr>
                <w:rStyle w:val="Ninguno"/>
                <w:b/>
                <w:bCs/>
              </w:rPr>
              <w:t>CONSECUENCIAS de la prosperidad del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F76A0BF" w14:textId="535F876C" w:rsidR="00E93FC5" w:rsidRPr="00B815C6" w:rsidRDefault="00E93FC5" w:rsidP="00E321DA">
            <w:pPr>
              <w:jc w:val="center"/>
            </w:pP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501C357" w14:textId="77777777" w:rsidR="00E93FC5" w:rsidRPr="00B815C6" w:rsidRDefault="00E93FC5" w:rsidP="00E321DA"/>
        </w:tc>
      </w:tr>
    </w:tbl>
    <w:p w14:paraId="73E20381" w14:textId="40AD51EA" w:rsidR="00E93FC5" w:rsidRDefault="00E93FC5"/>
    <w:p w14:paraId="467D571F"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1841CF3"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EJERCICIO 2. MECANISMO DE UNIFICACIÓN DE JURISPRUDENCIA (preventivo)</w:t>
      </w:r>
      <w:r>
        <w:rPr>
          <w:rStyle w:val="Ninguno"/>
          <w:u w:color="000000"/>
          <w14:textOutline w14:w="12700" w14:cap="flat" w14:cmpd="sng" w14:algn="ctr">
            <w14:noFill/>
            <w14:prstDash w14:val="solid"/>
            <w14:miter w14:lim="400000"/>
          </w14:textOutline>
        </w:rPr>
        <w:t xml:space="preserve">. Lea los textos de los artículos 271 de la Ley 1437 de 2011 (antes de la reforma introducida por la Ley 2080 de 2021) y 79 de la Ley 2080 de 2021. Identifique las diferencias entre ambos textos e indique los efectos que pueden derivarse de tales diferencias. </w:t>
      </w:r>
    </w:p>
    <w:p w14:paraId="5457643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37ABF522"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Respuesta</w:t>
      </w:r>
      <w:r>
        <w:rPr>
          <w:rStyle w:val="Ninguno"/>
          <w:u w:color="000000"/>
          <w14:textOutline w14:w="12700" w14:cap="flat" w14:cmpd="sng" w14:algn="ctr">
            <w14:noFill/>
            <w14:prstDash w14:val="solid"/>
            <w14:miter w14:lim="400000"/>
          </w14:textOutline>
        </w:rPr>
        <w:t>. La norma, en ambos textos, regula este mecanismo, que es la figura procesal mediante la cual se “</w:t>
      </w:r>
      <w:r>
        <w:rPr>
          <w:rStyle w:val="Ninguno"/>
          <w:b/>
          <w:bCs/>
          <w:u w:val="single" w:color="000000"/>
          <w14:textOutline w14:w="12700" w14:cap="flat" w14:cmpd="sng" w14:algn="ctr">
            <w14:noFill/>
            <w14:prstDash w14:val="solid"/>
            <w14:miter w14:lim="400000"/>
          </w14:textOutline>
        </w:rPr>
        <w:t>construye</w:t>
      </w:r>
      <w:r>
        <w:rPr>
          <w:rStyle w:val="Ninguno"/>
          <w:u w:color="000000"/>
          <w14:textOutline w14:w="12700" w14:cap="flat" w14:cmpd="sng" w14:algn="ctr">
            <w14:noFill/>
            <w14:prstDash w14:val="solid"/>
            <w14:miter w14:lim="400000"/>
          </w14:textOutline>
        </w:rPr>
        <w:t xml:space="preserve">” la jurisprudencia unificada. Es destacable el carácter preventivo del mecanismo de unificación de jurisprudencia; a diferencia del recurso extraordinario de unificación de jurisprudencia, que tiene un carácter correctivo. </w:t>
      </w:r>
    </w:p>
    <w:p w14:paraId="5AE7F5D0"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0FCE0BF3"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Las modificaciones comprenden los siguientes aspectos. </w:t>
      </w:r>
    </w:p>
    <w:p w14:paraId="6EAD258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03853AA8"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1) </w:t>
      </w:r>
      <w:r>
        <w:rPr>
          <w:rStyle w:val="Ninguno"/>
          <w:b/>
          <w:bCs/>
          <w:u w:val="single" w:color="000000"/>
          <w14:textOutline w14:w="12700" w14:cap="flat" w14:cmpd="sng" w14:algn="ctr">
            <w14:noFill/>
            <w14:prstDash w14:val="solid"/>
            <w14:miter w14:lim="400000"/>
          </w14:textOutline>
        </w:rPr>
        <w:t>Providencias sobre las que recae el mecanismo</w:t>
      </w:r>
      <w:r>
        <w:rPr>
          <w:rStyle w:val="Ninguno"/>
          <w:u w:color="000000"/>
          <w14:textOutline w14:w="12700" w14:cap="flat" w14:cmpd="sng" w14:algn="ctr">
            <w14:noFill/>
            <w14:prstDash w14:val="solid"/>
            <w14:miter w14:lim="400000"/>
          </w14:textOutline>
        </w:rPr>
        <w:t>. El conocimiento que asume el Consejo de Estado será no sólo de “</w:t>
      </w:r>
      <w:r>
        <w:rPr>
          <w:rStyle w:val="Ninguno"/>
          <w:b/>
          <w:bCs/>
          <w:u w:val="single" w:color="000000"/>
          <w14:textOutline w14:w="12700" w14:cap="flat" w14:cmpd="sng" w14:algn="ctr">
            <w14:noFill/>
            <w14:prstDash w14:val="solid"/>
            <w14:miter w14:lim="400000"/>
          </w14:textOutline>
        </w:rPr>
        <w:t>asuntos pendientes de fallo</w:t>
      </w:r>
      <w:r>
        <w:rPr>
          <w:rStyle w:val="Ninguno"/>
          <w:u w:color="000000"/>
          <w14:textOutline w14:w="12700" w14:cap="flat" w14:cmpd="sng" w14:algn="ctr">
            <w14:noFill/>
            <w14:prstDash w14:val="solid"/>
            <w14:miter w14:lim="400000"/>
          </w14:textOutline>
        </w:rPr>
        <w:t>” sino también de “</w:t>
      </w:r>
      <w:r>
        <w:rPr>
          <w:rStyle w:val="Ninguno"/>
          <w:b/>
          <w:bCs/>
          <w:u w:val="single" w:color="000000"/>
          <w14:textOutline w14:w="12700" w14:cap="flat" w14:cmpd="sng" w14:algn="ctr">
            <w14:noFill/>
            <w14:prstDash w14:val="solid"/>
            <w14:miter w14:lim="400000"/>
          </w14:textOutline>
        </w:rPr>
        <w:t>decisión interlocutoria</w:t>
      </w:r>
      <w:r>
        <w:rPr>
          <w:rStyle w:val="Ninguno"/>
          <w:u w:color="000000"/>
          <w14:textOutline w14:w="12700" w14:cap="flat" w14:cmpd="sng" w14:algn="ctr">
            <w14:noFill/>
            <w14:prstDash w14:val="solid"/>
            <w14:miter w14:lim="400000"/>
          </w14:textOutline>
        </w:rPr>
        <w:t xml:space="preserve">”, con lo cual el Consejo de Estado habrá de proferir no sólo sentencias de unificación sino -ahora- también autos de unificación. Establece que las secciones del Consejo de Estado dictarán sentencias y autos de unificación en relación </w:t>
      </w:r>
      <w:r>
        <w:rPr>
          <w:rStyle w:val="Ninguno"/>
          <w:b/>
          <w:bCs/>
          <w:u w:val="single" w:color="000000"/>
          <w14:textOutline w14:w="12700" w14:cap="flat" w14:cmpd="sng" w14:algn="ctr">
            <w14:noFill/>
            <w14:prstDash w14:val="solid"/>
            <w14:miter w14:lim="400000"/>
          </w14:textOutline>
        </w:rPr>
        <w:t xml:space="preserve">con los asuntos de los despachos </w:t>
      </w:r>
      <w:r>
        <w:rPr>
          <w:rStyle w:val="Ninguno"/>
          <w:u w:color="000000"/>
          <w14:textOutline w14:w="12700" w14:cap="flat" w14:cmpd="sng" w14:algn="ctr">
            <w14:noFill/>
            <w14:prstDash w14:val="solid"/>
            <w14:miter w14:lim="400000"/>
          </w14:textOutline>
        </w:rPr>
        <w:t xml:space="preserve">de los magistrados del Consejo de Estado, ampliando esta posibilidad que se refería antes sólo a los asuntos de las subsecciones. </w:t>
      </w:r>
    </w:p>
    <w:p w14:paraId="292802B1"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 </w:t>
      </w:r>
    </w:p>
    <w:p w14:paraId="7EFC1AF6"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2) </w:t>
      </w:r>
      <w:r>
        <w:rPr>
          <w:rStyle w:val="Ninguno"/>
          <w:b/>
          <w:bCs/>
          <w:u w:val="single" w:color="000000"/>
          <w14:textOutline w14:w="12700" w14:cap="flat" w14:cmpd="sng" w14:algn="ctr">
            <w14:noFill/>
            <w14:prstDash w14:val="solid"/>
            <w14:miter w14:lim="400000"/>
          </w14:textOutline>
        </w:rPr>
        <w:t>Legitimación por activa</w:t>
      </w:r>
      <w:r>
        <w:rPr>
          <w:rStyle w:val="Ninguno"/>
          <w:u w:color="000000"/>
          <w14:textOutline w14:w="12700" w14:cap="flat" w14:cmpd="sng" w14:algn="ctr">
            <w14:noFill/>
            <w14:prstDash w14:val="solid"/>
            <w14:miter w14:lim="400000"/>
          </w14:textOutline>
        </w:rPr>
        <w:t xml:space="preserve">. Se conserva que dicho mecanismo consiste en que el Consejo de Estado asume (de oficio, por remisión o a solicitud) el conocimiento de asuntos que se tramitan en sus secciones o subsecciones o en única o en segunda instancia ante los tribunales administrativos, pero se amplían los sujetos que activan el mecanismo; antes eran por remisión de las secciones o subsecciones del Consejo de Estado o de los tribunales o a solicitud de parte; y ahora </w:t>
      </w:r>
      <w:r>
        <w:rPr>
          <w:rStyle w:val="Ninguno"/>
          <w:b/>
          <w:bCs/>
          <w:u w:val="single" w:color="000000"/>
          <w14:textOutline w14:w="12700" w14:cap="flat" w14:cmpd="sng" w14:algn="ctr">
            <w14:noFill/>
            <w14:prstDash w14:val="solid"/>
            <w14:miter w14:lim="400000"/>
          </w14:textOutline>
        </w:rPr>
        <w:t xml:space="preserve">se agrega la Agencia Nacional de Defensa Jurídica del Estado </w:t>
      </w:r>
      <w:r>
        <w:rPr>
          <w:rStyle w:val="Ninguno"/>
          <w:u w:color="000000"/>
          <w14:textOutline w14:w="12700" w14:cap="flat" w14:cmpd="sng" w14:algn="ctr">
            <w14:noFill/>
            <w14:prstDash w14:val="solid"/>
            <w14:miter w14:lim="400000"/>
          </w14:textOutline>
        </w:rPr>
        <w:t xml:space="preserve">(ANDJE). </w:t>
      </w:r>
    </w:p>
    <w:p w14:paraId="28A3475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1AF4340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lastRenderedPageBreak/>
        <w:t xml:space="preserve">3) </w:t>
      </w:r>
      <w:r>
        <w:rPr>
          <w:rStyle w:val="Ninguno"/>
          <w:b/>
          <w:bCs/>
          <w:u w:val="single" w:color="000000"/>
          <w14:textOutline w14:w="12700" w14:cap="flat" w14:cmpd="sng" w14:algn="ctr">
            <w14:noFill/>
            <w14:prstDash w14:val="solid"/>
            <w14:miter w14:lim="400000"/>
          </w14:textOutline>
        </w:rPr>
        <w:t>Competencia</w:t>
      </w:r>
      <w:r>
        <w:rPr>
          <w:rStyle w:val="Ninguno"/>
          <w:u w:color="000000"/>
          <w14:textOutline w14:w="12700" w14:cap="flat" w14:cmpd="sng" w14:algn="ctr">
            <w14:noFill/>
            <w14:prstDash w14:val="solid"/>
            <w14:miter w14:lim="400000"/>
          </w14:textOutline>
        </w:rPr>
        <w:t xml:space="preserve">. Consagra que en caso de unificación sobre aspectos procesales transversales la competencia es de la Sala Plena del Consejo de Estado. </w:t>
      </w:r>
    </w:p>
    <w:p w14:paraId="257C3068"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2859CD0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4) </w:t>
      </w:r>
      <w:r>
        <w:rPr>
          <w:rStyle w:val="Ninguno"/>
          <w:b/>
          <w:bCs/>
          <w:u w:val="single" w:color="000000"/>
          <w14:textOutline w14:w="12700" w14:cap="flat" w14:cmpd="sng" w14:algn="ctr">
            <w14:noFill/>
            <w14:prstDash w14:val="solid"/>
            <w14:miter w14:lim="400000"/>
          </w14:textOutline>
        </w:rPr>
        <w:t>Oportunidad procesal</w:t>
      </w:r>
      <w:r>
        <w:rPr>
          <w:rStyle w:val="Ninguno"/>
          <w:u w:color="000000"/>
          <w14:textOutline w14:w="12700" w14:cap="flat" w14:cmpd="sng" w14:algn="ctr">
            <w14:noFill/>
            <w14:prstDash w14:val="solid"/>
            <w14:miter w14:lim="400000"/>
          </w14:textOutline>
        </w:rPr>
        <w:t xml:space="preserve">. Indica un momento procesal para asumir el trámite a solicitud de parte o de la Agencia Nacional de Defensa Jurídica del Estado, a saber, que la solicitud respectiva se haya formulado antes de que se registre ponencia de fallo; pero si la petición proviene de un consejero de Estado, del tribunal administrativo o del Ministerio Público, podrá formularse en cualquier tiempo; y se restringe, en el caso de la ANDJE, a los casos en que esta previamente haya intervenido o se haya hecho parte dentro del proceso. </w:t>
      </w:r>
    </w:p>
    <w:p w14:paraId="181BC882"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7CE7EED3"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5) </w:t>
      </w:r>
      <w:r>
        <w:rPr>
          <w:rStyle w:val="Ninguno"/>
          <w:b/>
          <w:bCs/>
          <w:u w:val="single" w:color="000000"/>
          <w14:textOutline w14:w="12700" w14:cap="flat" w14:cmpd="sng" w14:algn="ctr">
            <w14:noFill/>
            <w14:prstDash w14:val="solid"/>
            <w14:miter w14:lim="400000"/>
          </w14:textOutline>
        </w:rPr>
        <w:t>Causales</w:t>
      </w:r>
      <w:r>
        <w:rPr>
          <w:rStyle w:val="Ninguno"/>
          <w:u w:color="000000"/>
          <w14:textOutline w14:w="12700" w14:cap="flat" w14:cmpd="sng" w14:algn="ctr">
            <w14:noFill/>
            <w14:prstDash w14:val="solid"/>
            <w14:miter w14:lim="400000"/>
          </w14:textOutline>
        </w:rPr>
        <w:t xml:space="preserve">. Señala una nueva causal para proceder al mecanismo de unificación de jurisprudencia, a saber, </w:t>
      </w:r>
      <w:r>
        <w:rPr>
          <w:rStyle w:val="Ninguno"/>
          <w:u w:val="single" w:color="000000"/>
          <w14:textOutline w14:w="12700" w14:cap="flat" w14:cmpd="sng" w14:algn="ctr">
            <w14:noFill/>
            <w14:prstDash w14:val="solid"/>
            <w14:miter w14:lim="400000"/>
          </w14:textOutline>
        </w:rPr>
        <w:t>la de precisar el alcance o resolver divergencias en la interpretación y aplicación de la jurisprudencia</w:t>
      </w:r>
      <w:r>
        <w:rPr>
          <w:rStyle w:val="Ninguno"/>
          <w:u w:color="000000"/>
          <w14:textOutline w14:w="12700" w14:cap="flat" w14:cmpd="sng" w14:algn="ctr">
            <w14:noFill/>
            <w14:prstDash w14:val="solid"/>
            <w14:miter w14:lim="400000"/>
          </w14:textOutline>
        </w:rPr>
        <w:t xml:space="preserve">, que se agrega a las ya conocidas: importancia jurídica o trascendencia económica o social o la necesidad de unificar o sentar jurisprudencia. </w:t>
      </w:r>
    </w:p>
    <w:p w14:paraId="68C21F6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7A3C34FE"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6) </w:t>
      </w:r>
      <w:r>
        <w:rPr>
          <w:rStyle w:val="Ninguno"/>
          <w:b/>
          <w:bCs/>
          <w:u w:val="single" w:color="000000"/>
          <w14:textOutline w14:w="12700" w14:cap="flat" w14:cmpd="sng" w14:algn="ctr">
            <w14:noFill/>
            <w14:prstDash w14:val="solid"/>
            <w14:miter w14:lim="400000"/>
          </w14:textOutline>
        </w:rPr>
        <w:t>Mecanismo electrónico de identificación</w:t>
      </w:r>
      <w:r>
        <w:rPr>
          <w:rStyle w:val="Ninguno"/>
          <w:u w:color="000000"/>
          <w14:textOutline w14:w="12700" w14:cap="flat" w14:cmpd="sng" w14:algn="ctr">
            <w14:noFill/>
            <w14:prstDash w14:val="solid"/>
            <w14:miter w14:lim="400000"/>
          </w14:textOutline>
        </w:rPr>
        <w:t>. Finalmente, dispuso implementar un mecanismo electrónico que permita identificar en el Consejo de Estados, tribunales y juzgados administrativos las materias y temas que deban ser objeto del mecanismo de unificación de jurisprudencia.</w:t>
      </w:r>
    </w:p>
    <w:p w14:paraId="72C9EE67"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47CBE89E"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Con el fin de facilitar el desarrollo del ejercicio, se ha diligenciado la columna que corresponde a la Ley 1437 de 2011 (texto original). Es posible que en algunos casos advierta que no hay regulación sobre dicho aspecto procesal. En tal evento, deberá indicarlo con una equis (X).</w:t>
      </w:r>
    </w:p>
    <w:p w14:paraId="542C6722" w14:textId="74A7D155" w:rsidR="00E93FC5" w:rsidRDefault="00E93FC5"/>
    <w:p w14:paraId="6516A535" w14:textId="30CCE1DC" w:rsidR="00E93FC5" w:rsidRDefault="00E93FC5"/>
    <w:tbl>
      <w:tblPr>
        <w:tblStyle w:val="TableNormal"/>
        <w:tblW w:w="856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613"/>
        <w:gridCol w:w="2835"/>
      </w:tblGrid>
      <w:tr w:rsidR="00E93FC5" w14:paraId="76311EF7" w14:textId="77777777" w:rsidTr="00E321DA">
        <w:trPr>
          <w:trHeight w:val="489"/>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073894E4"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ASPECTO PROCESAL</w:t>
            </w:r>
          </w:p>
        </w:tc>
        <w:tc>
          <w:tcPr>
            <w:tcW w:w="2613"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20B492A5" w14:textId="77777777" w:rsidR="00E93FC5" w:rsidRDefault="00E93FC5" w:rsidP="00E321DA">
            <w:pPr>
              <w:keepNext/>
              <w:tabs>
                <w:tab w:val="left" w:pos="708"/>
                <w:tab w:val="left" w:pos="1416"/>
                <w:tab w:val="left" w:pos="2124"/>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1437 DE 2011 (texto original)</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4A6A9709"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2080 DE 2021</w:t>
            </w:r>
          </w:p>
        </w:tc>
      </w:tr>
      <w:tr w:rsidR="00E93FC5" w14:paraId="6A7DE319" w14:textId="77777777" w:rsidTr="00E321DA">
        <w:tblPrEx>
          <w:shd w:val="clear" w:color="auto" w:fill="CDD4E9"/>
        </w:tblPrEx>
        <w:trPr>
          <w:trHeight w:val="2535"/>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57DDCBF"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PROVIDENCIAS SOBRE LAS QUE RECAE EL MECANISMO</w:t>
            </w:r>
          </w:p>
        </w:tc>
        <w:tc>
          <w:tcPr>
            <w:tcW w:w="261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88A5E55" w14:textId="77777777" w:rsidR="00E93FC5" w:rsidRDefault="00E93FC5" w:rsidP="00E321DA">
            <w:pPr>
              <w:tabs>
                <w:tab w:val="left" w:pos="708"/>
                <w:tab w:val="left" w:pos="1416"/>
                <w:tab w:val="left" w:pos="2124"/>
              </w:tabs>
              <w:spacing w:line="254" w:lineRule="atLeast"/>
              <w:jc w:val="both"/>
              <w:rPr>
                <w:rStyle w:val="Ninguno"/>
                <w:rFonts w:ascii="Helvetica Neue" w:eastAsia="Helvetica Neue" w:hAnsi="Helvetica Neue" w:cs="Helvetica Neue"/>
                <w:color w:val="000000"/>
                <w:u w:color="000000"/>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Son susceptibles de este mecanismo: </w:t>
            </w:r>
          </w:p>
          <w:p w14:paraId="4F51BFA4" w14:textId="77777777" w:rsidR="00E93FC5" w:rsidRDefault="00E93FC5" w:rsidP="00E321DA">
            <w:pPr>
              <w:numPr>
                <w:ilvl w:val="0"/>
                <w:numId w:val="1"/>
              </w:numPr>
              <w:spacing w:line="254" w:lineRule="atLeast"/>
              <w:jc w:val="both"/>
              <w:rPr>
                <w:rFonts w:ascii="Arial" w:hAnsi="Arial" w:cs="Arial Unicode MS"/>
                <w:color w:val="000000"/>
                <w:u w:color="000000"/>
                <w:shd w:val="clear" w:color="auto" w:fill="E0E0E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Los asuntos pendientes de fallo en el Consejo de Estado. </w:t>
            </w:r>
          </w:p>
          <w:p w14:paraId="0E31CB7A" w14:textId="77777777" w:rsidR="00E93FC5" w:rsidRDefault="00E93FC5" w:rsidP="00E321DA">
            <w:pPr>
              <w:numPr>
                <w:ilvl w:val="0"/>
                <w:numId w:val="1"/>
              </w:numPr>
              <w:spacing w:line="254" w:lineRule="atLeast"/>
              <w:jc w:val="both"/>
              <w:rPr>
                <w:rFonts w:ascii="Arial" w:hAnsi="Arial" w:cs="Arial Unicode MS"/>
                <w:color w:val="000000"/>
                <w:u w:color="000000"/>
                <w:shd w:val="clear" w:color="auto" w:fill="E0E0E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Los asuntos remitidos por las secciones o subsecciones de los tribunales, en única o segunda instancia.</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757B315" w14:textId="77777777" w:rsidR="00E93FC5" w:rsidRDefault="00E93FC5" w:rsidP="00E321DA"/>
        </w:tc>
      </w:tr>
      <w:tr w:rsidR="00E93FC5" w14:paraId="0FFFC0EB" w14:textId="77777777" w:rsidTr="00E321DA">
        <w:tblPrEx>
          <w:shd w:val="clear" w:color="auto" w:fill="CDD4E9"/>
        </w:tblPrEx>
        <w:trPr>
          <w:trHeight w:val="216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A7E384E"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lastRenderedPageBreak/>
              <w:t>LEGITIMACIÓN POR ACTIVA</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742FCB3"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El Consejo de Estado de oficio.</w:t>
            </w:r>
          </w:p>
          <w:p w14:paraId="3FE53C50"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A solicitud de parte.</w:t>
            </w:r>
          </w:p>
          <w:p w14:paraId="5847A85F"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Los Tribunales por remisión de los asuntos que conocen en única o segunda instancia. </w:t>
            </w:r>
          </w:p>
          <w:p w14:paraId="50132026"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A petición del Ministerio Público.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8C53144" w14:textId="77777777" w:rsidR="00E93FC5" w:rsidRDefault="00E93FC5" w:rsidP="00E321DA"/>
        </w:tc>
      </w:tr>
      <w:tr w:rsidR="00E93FC5" w14:paraId="7257A6F1" w14:textId="77777777" w:rsidTr="00E321DA">
        <w:tblPrEx>
          <w:shd w:val="clear" w:color="auto" w:fill="CDD4E9"/>
        </w:tblPrEx>
        <w:trPr>
          <w:trHeight w:val="288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198A839"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 xml:space="preserve">COMPETENCIA </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87A7D08" w14:textId="77777777" w:rsidR="00E93FC5" w:rsidRDefault="00E93FC5" w:rsidP="00E321DA">
            <w:pPr>
              <w:numPr>
                <w:ilvl w:val="0"/>
                <w:numId w:val="3"/>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Sala Plena de lo Contencioso Administrativo del Consejo de Estado cuando los asuntos provengan de sus secciones. </w:t>
            </w:r>
          </w:p>
          <w:p w14:paraId="4E1B6C14" w14:textId="77777777" w:rsidR="00E93FC5" w:rsidRDefault="00E93FC5" w:rsidP="00E321DA">
            <w:pPr>
              <w:numPr>
                <w:ilvl w:val="0"/>
                <w:numId w:val="4"/>
              </w:numPr>
              <w:rPr>
                <w:rFonts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Las secciones del Consejo de Estado cuando los asuntos provengan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D0E22BF" w14:textId="77777777" w:rsidR="00E93FC5" w:rsidRDefault="00E93FC5" w:rsidP="00E321DA"/>
        </w:tc>
      </w:tr>
      <w:tr w:rsidR="00E93FC5" w14:paraId="65394DDD" w14:textId="77777777" w:rsidTr="00E321DA">
        <w:tblPrEx>
          <w:shd w:val="clear" w:color="auto" w:fill="CDD4E9"/>
        </w:tblPrEx>
        <w:trPr>
          <w:trHeight w:val="19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7AC562D"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OPORTUNIDAD PROCESAL</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72C21C" w14:textId="77777777" w:rsidR="00E93FC5" w:rsidRDefault="00E93FC5" w:rsidP="00E321DA">
            <w:pPr>
              <w:pStyle w:val="Cuerpo"/>
              <w:tabs>
                <w:tab w:val="left" w:pos="708"/>
                <w:tab w:val="left" w:pos="1416"/>
                <w:tab w:val="left" w:pos="2124"/>
              </w:tabs>
              <w:jc w:val="both"/>
            </w:pPr>
            <w:r>
              <w:rPr>
                <w:rStyle w:val="Ninguno"/>
                <w:sz w:val="20"/>
                <w:szCs w:val="20"/>
                <w:u w:color="000000"/>
              </w:rPr>
              <w:t xml:space="preserve">El Consejo de Estado podrá asumir conocimiento mientras el asunto se encuentre pendiente de fallo ya sea en sus mismas secciones o proveniente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28D63C4" w14:textId="77777777" w:rsidR="00E93FC5" w:rsidRDefault="00E93FC5" w:rsidP="00E321DA"/>
        </w:tc>
      </w:tr>
      <w:tr w:rsidR="00E93FC5" w14:paraId="2347C98A" w14:textId="77777777" w:rsidTr="00E321DA">
        <w:tblPrEx>
          <w:shd w:val="clear" w:color="auto" w:fill="CDD4E9"/>
        </w:tblPrEx>
        <w:trPr>
          <w:trHeight w:val="2460"/>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26CF432"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CAUSALES</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8E10500" w14:textId="77777777" w:rsidR="00E93FC5" w:rsidRDefault="00E93FC5" w:rsidP="00E321DA">
            <w:pPr>
              <w:pStyle w:val="Cuerpo"/>
              <w:tabs>
                <w:tab w:val="left" w:pos="708"/>
                <w:tab w:val="left" w:pos="1416"/>
                <w:tab w:val="left" w:pos="2124"/>
              </w:tabs>
              <w:jc w:val="both"/>
            </w:pPr>
            <w:r>
              <w:rPr>
                <w:rStyle w:val="Ninguno"/>
                <w:sz w:val="20"/>
                <w:szCs w:val="20"/>
                <w:u w:color="000000"/>
              </w:rPr>
              <w:t>Se proferirán decisiones de unificación jurisprudencial en los siguientes casos:   por razones de importancia jurídica, trascendencia económica o social o necesidad de sentar jurisprudencia.</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B897484" w14:textId="77777777" w:rsidR="00E93FC5" w:rsidRDefault="00E93FC5" w:rsidP="00E321DA"/>
        </w:tc>
      </w:tr>
      <w:tr w:rsidR="00E93FC5" w14:paraId="40CB86E1" w14:textId="77777777" w:rsidTr="00E321DA">
        <w:tblPrEx>
          <w:shd w:val="clear" w:color="auto" w:fill="CDD4E9"/>
        </w:tblPrEx>
        <w:trPr>
          <w:trHeight w:val="51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40B87F4"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 xml:space="preserve">MECANISMO ELECTRÓNICO DE IDENTIFICACIÓN </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6B66CC" w14:textId="77777777" w:rsidR="00E93FC5" w:rsidRDefault="00E93FC5" w:rsidP="00E321DA">
            <w:pPr>
              <w:pStyle w:val="Cuerpo"/>
              <w:tabs>
                <w:tab w:val="left" w:pos="708"/>
                <w:tab w:val="left" w:pos="1416"/>
                <w:tab w:val="left" w:pos="2124"/>
              </w:tabs>
            </w:pPr>
            <w:r>
              <w:rPr>
                <w:rStyle w:val="Ninguno"/>
                <w:rFonts w:ascii="Times New Roman" w:hAnsi="Times New Roman"/>
                <w:sz w:val="24"/>
                <w:szCs w:val="24"/>
                <w:u w:color="000000"/>
              </w:rPr>
              <w:t xml:space="preserve">                 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8535AB4" w14:textId="77777777" w:rsidR="00E93FC5" w:rsidRDefault="00E93FC5" w:rsidP="00E321DA"/>
        </w:tc>
      </w:tr>
    </w:tbl>
    <w:p w14:paraId="5B023742" w14:textId="77777777" w:rsidR="00E93FC5"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24" w:hanging="324"/>
        <w:jc w:val="both"/>
        <w:rPr>
          <w:rStyle w:val="Ninguno"/>
          <w:u w:color="000000"/>
          <w14:textOutline w14:w="12700" w14:cap="flat" w14:cmpd="sng" w14:algn="ctr">
            <w14:noFill/>
            <w14:prstDash w14:val="solid"/>
            <w14:miter w14:lim="400000"/>
          </w14:textOutline>
        </w:rPr>
      </w:pPr>
    </w:p>
    <w:p w14:paraId="7F0ED0CA" w14:textId="77777777" w:rsidR="00E93FC5"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216" w:hanging="216"/>
        <w:jc w:val="both"/>
        <w:rPr>
          <w:rStyle w:val="Ninguno"/>
          <w:u w:color="000000"/>
          <w14:textOutline w14:w="12700" w14:cap="flat" w14:cmpd="sng" w14:algn="ctr">
            <w14:noFill/>
            <w14:prstDash w14:val="solid"/>
            <w14:miter w14:lim="400000"/>
          </w14:textOutline>
        </w:rPr>
      </w:pPr>
    </w:p>
    <w:p w14:paraId="3F017536" w14:textId="77777777" w:rsidR="00E93FC5" w:rsidRDefault="00E93FC5"/>
    <w:sectPr w:rsidR="00E93FC5">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2D68F" w14:textId="77777777" w:rsidR="00B0550D" w:rsidRDefault="00B0550D" w:rsidP="00431A7C">
      <w:r>
        <w:separator/>
      </w:r>
    </w:p>
  </w:endnote>
  <w:endnote w:type="continuationSeparator" w:id="0">
    <w:p w14:paraId="193C4C95" w14:textId="77777777" w:rsidR="00B0550D" w:rsidRDefault="00B0550D" w:rsidP="00431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495E6" w14:textId="77777777" w:rsidR="00B0550D" w:rsidRDefault="00B0550D" w:rsidP="00431A7C">
      <w:r>
        <w:separator/>
      </w:r>
    </w:p>
  </w:footnote>
  <w:footnote w:type="continuationSeparator" w:id="0">
    <w:p w14:paraId="237E7724" w14:textId="77777777" w:rsidR="00B0550D" w:rsidRDefault="00B0550D" w:rsidP="00431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24732" w14:textId="6A6A8FC7" w:rsidR="00431A7C" w:rsidRDefault="00431A7C">
    <w:pPr>
      <w:pStyle w:val="Encabezado"/>
    </w:pPr>
    <w:r>
      <w:rPr>
        <w:noProof/>
      </w:rPr>
      <w:drawing>
        <wp:anchor distT="152400" distB="152400" distL="152400" distR="152400" simplePos="0" relativeHeight="251667456" behindDoc="1" locked="0" layoutInCell="1" allowOverlap="1" wp14:anchorId="151AAC8C" wp14:editId="3973911C">
          <wp:simplePos x="0" y="0"/>
          <wp:positionH relativeFrom="page">
            <wp:posOffset>6421680</wp:posOffset>
          </wp:positionH>
          <wp:positionV relativeFrom="page">
            <wp:posOffset>293860</wp:posOffset>
          </wp:positionV>
          <wp:extent cx="408305" cy="460375"/>
          <wp:effectExtent l="0" t="0" r="0" b="0"/>
          <wp:wrapNone/>
          <wp:docPr id="1073741829" name="officeArt object" descr="Interfaz de usuario gráfica,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1073741829" name="Interfaz de usuario gráfica, AplicaciónDescripción generada automáticamente" descr="Interfaz de usuario gráfica, AplicaciónDescripción generada automáticamente"/>
                  <pic:cNvPicPr>
                    <a:picLocks noChangeAspect="1"/>
                  </pic:cNvPicPr>
                </pic:nvPicPr>
                <pic:blipFill>
                  <a:blip r:embed="rId1"/>
                  <a:srcRect l="30535" t="12093" r="30976" b="10760"/>
                  <a:stretch>
                    <a:fillRect/>
                  </a:stretch>
                </pic:blipFill>
                <pic:spPr>
                  <a:xfrm>
                    <a:off x="0" y="0"/>
                    <a:ext cx="408305" cy="460375"/>
                  </a:xfrm>
                  <a:prstGeom prst="rect">
                    <a:avLst/>
                  </a:prstGeom>
                  <a:ln w="12700" cap="flat">
                    <a:noFill/>
                    <a:miter lim="400000"/>
                  </a:ln>
                  <a:effectLst/>
                </pic:spPr>
              </pic:pic>
            </a:graphicData>
          </a:graphic>
          <wp14:sizeRelV relativeFrom="margin">
            <wp14:pctHeight>0</wp14:pctHeight>
          </wp14:sizeRelV>
        </wp:anchor>
      </w:drawing>
    </w:r>
    <w:r>
      <w:rPr>
        <w:noProof/>
      </w:rPr>
      <w:drawing>
        <wp:anchor distT="152400" distB="152400" distL="152400" distR="152400" simplePos="0" relativeHeight="251665408" behindDoc="1" locked="0" layoutInCell="1" allowOverlap="1" wp14:anchorId="2F21477F" wp14:editId="56AD8C72">
          <wp:simplePos x="0" y="0"/>
          <wp:positionH relativeFrom="page">
            <wp:posOffset>5561601</wp:posOffset>
          </wp:positionH>
          <wp:positionV relativeFrom="page">
            <wp:posOffset>157725</wp:posOffset>
          </wp:positionV>
          <wp:extent cx="532766" cy="629920"/>
          <wp:effectExtent l="0" t="0" r="0" b="0"/>
          <wp:wrapNone/>
          <wp:docPr id="1073741828" name="officeArt object" descr="Interfaz de usuario gráfica, Texto, Aplicación, Word&#10;&#10;Descripción generada automáticamente"/>
          <wp:cNvGraphicFramePr/>
          <a:graphic xmlns:a="http://schemas.openxmlformats.org/drawingml/2006/main">
            <a:graphicData uri="http://schemas.openxmlformats.org/drawingml/2006/picture">
              <pic:pic xmlns:pic="http://schemas.openxmlformats.org/drawingml/2006/picture">
                <pic:nvPicPr>
                  <pic:cNvPr id="1073741828" name="Interfaz de usuario gráfica, Texto, Aplicación, WordDescripción generada automáticamente" descr="Interfaz de usuario gráfica, Texto, Aplicación, WordDescripción generada automáticamente"/>
                  <pic:cNvPicPr>
                    <a:picLocks noChangeAspect="1"/>
                  </pic:cNvPicPr>
                </pic:nvPicPr>
                <pic:blipFill>
                  <a:blip r:embed="rId2"/>
                  <a:srcRect l="30030" t="30120" r="51628" b="31305"/>
                  <a:stretch>
                    <a:fillRect/>
                  </a:stretch>
                </pic:blipFill>
                <pic:spPr>
                  <a:xfrm>
                    <a:off x="0" y="0"/>
                    <a:ext cx="532766" cy="629920"/>
                  </a:xfrm>
                  <a:prstGeom prst="rect">
                    <a:avLst/>
                  </a:prstGeom>
                  <a:ln w="12700" cap="flat">
                    <a:noFill/>
                    <a:miter lim="400000"/>
                  </a:ln>
                  <a:effectLst/>
                </pic:spPr>
              </pic:pic>
            </a:graphicData>
          </a:graphic>
        </wp:anchor>
      </w:drawing>
    </w:r>
    <w:r>
      <w:rPr>
        <w:noProof/>
      </w:rPr>
      <w:drawing>
        <wp:anchor distT="152400" distB="152400" distL="152400" distR="152400" simplePos="0" relativeHeight="251663360" behindDoc="1" locked="0" layoutInCell="1" allowOverlap="1" wp14:anchorId="14BDDE85" wp14:editId="4A8579C5">
          <wp:simplePos x="0" y="0"/>
          <wp:positionH relativeFrom="page">
            <wp:posOffset>3642266</wp:posOffset>
          </wp:positionH>
          <wp:positionV relativeFrom="page">
            <wp:posOffset>347344</wp:posOffset>
          </wp:positionV>
          <wp:extent cx="1535125" cy="330109"/>
          <wp:effectExtent l="0" t="0" r="0" b="0"/>
          <wp:wrapNone/>
          <wp:docPr id="1073741827" name="officeArt object" descr="Imagen 5"/>
          <wp:cNvGraphicFramePr/>
          <a:graphic xmlns:a="http://schemas.openxmlformats.org/drawingml/2006/main">
            <a:graphicData uri="http://schemas.openxmlformats.org/drawingml/2006/picture">
              <pic:pic xmlns:pic="http://schemas.openxmlformats.org/drawingml/2006/picture">
                <pic:nvPicPr>
                  <pic:cNvPr id="1073741827" name="Imagen 5" descr="Imagen 5"/>
                  <pic:cNvPicPr>
                    <a:picLocks noChangeAspect="1"/>
                  </pic:cNvPicPr>
                </pic:nvPicPr>
                <pic:blipFill>
                  <a:blip r:embed="rId3"/>
                  <a:stretch>
                    <a:fillRect/>
                  </a:stretch>
                </pic:blipFill>
                <pic:spPr>
                  <a:xfrm>
                    <a:off x="0" y="0"/>
                    <a:ext cx="1535125" cy="330109"/>
                  </a:xfrm>
                  <a:prstGeom prst="rect">
                    <a:avLst/>
                  </a:prstGeom>
                  <a:ln w="12700" cap="flat">
                    <a:noFill/>
                    <a:miter lim="400000"/>
                  </a:ln>
                  <a:effectLst/>
                </pic:spPr>
              </pic:pic>
            </a:graphicData>
          </a:graphic>
        </wp:anchor>
      </w:drawing>
    </w:r>
    <w:r>
      <w:rPr>
        <w:noProof/>
      </w:rPr>
      <w:drawing>
        <wp:anchor distT="152400" distB="152400" distL="152400" distR="152400" simplePos="0" relativeHeight="251661312" behindDoc="1" locked="0" layoutInCell="1" allowOverlap="1" wp14:anchorId="4A16A18B" wp14:editId="2FCC78A4">
          <wp:simplePos x="0" y="0"/>
          <wp:positionH relativeFrom="page">
            <wp:posOffset>1695771</wp:posOffset>
          </wp:positionH>
          <wp:positionV relativeFrom="page">
            <wp:posOffset>221099</wp:posOffset>
          </wp:positionV>
          <wp:extent cx="1692910" cy="520389"/>
          <wp:effectExtent l="0" t="0" r="0" b="0"/>
          <wp:wrapNone/>
          <wp:docPr id="1073741826" name="officeArt object" descr="Interfaz de usuario gráfica, Texto, Aplicación, Correo electrónico&#10;&#10;Descripción generada automáticamente"/>
          <wp:cNvGraphicFramePr/>
          <a:graphic xmlns:a="http://schemas.openxmlformats.org/drawingml/2006/main">
            <a:graphicData uri="http://schemas.openxmlformats.org/drawingml/2006/picture">
              <pic:pic xmlns:pic="http://schemas.openxmlformats.org/drawingml/2006/picture">
                <pic:nvPicPr>
                  <pic:cNvPr id="1073741826" name="Interfaz de usuario gráfica, Texto, Aplicación, Correo electrónicoDescripción generada automáticamente" descr="Interfaz de usuario gráfica, Texto, Aplicación, Correo electrónicoDescripción generada automáticamente"/>
                  <pic:cNvPicPr>
                    <a:picLocks noChangeAspect="1"/>
                  </pic:cNvPicPr>
                </pic:nvPicPr>
                <pic:blipFill>
                  <a:blip r:embed="rId4"/>
                  <a:stretch>
                    <a:fillRect/>
                  </a:stretch>
                </pic:blipFill>
                <pic:spPr>
                  <a:xfrm>
                    <a:off x="0" y="0"/>
                    <a:ext cx="1692910" cy="520389"/>
                  </a:xfrm>
                  <a:prstGeom prst="rect">
                    <a:avLst/>
                  </a:prstGeom>
                  <a:ln w="12700" cap="flat">
                    <a:noFill/>
                    <a:miter lim="400000"/>
                  </a:ln>
                  <a:effectLst/>
                </pic:spPr>
              </pic:pic>
            </a:graphicData>
          </a:graphic>
        </wp:anchor>
      </w:drawing>
    </w:r>
    <w:r>
      <w:rPr>
        <w:noProof/>
      </w:rPr>
      <w:drawing>
        <wp:anchor distT="0" distB="0" distL="114300" distR="114300" simplePos="0" relativeHeight="251659264" behindDoc="0" locked="0" layoutInCell="1" allowOverlap="1" wp14:anchorId="2301EAC9" wp14:editId="3B23585F">
          <wp:simplePos x="0" y="0"/>
          <wp:positionH relativeFrom="column">
            <wp:posOffset>-552262</wp:posOffset>
          </wp:positionH>
          <wp:positionV relativeFrom="paragraph">
            <wp:posOffset>-236025</wp:posOffset>
          </wp:positionV>
          <wp:extent cx="907725" cy="469900"/>
          <wp:effectExtent l="0" t="0" r="0" b="0"/>
          <wp:wrapNone/>
          <wp:docPr id="1" name="Imagen 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Captura de pantalla de computadora&#10;&#10;Descripción generada automáticamente"/>
                  <pic:cNvPicPr/>
                </pic:nvPicPr>
                <pic:blipFill rotWithShape="1">
                  <a:blip r:embed="rId5">
                    <a:extLst>
                      <a:ext uri="{28A0092B-C50C-407E-A947-70E740481C1C}">
                        <a14:useLocalDpi xmlns:a14="http://schemas.microsoft.com/office/drawing/2010/main" val="0"/>
                      </a:ext>
                    </a:extLst>
                  </a:blip>
                  <a:srcRect l="43675" t="7647" r="43200" b="80078"/>
                  <a:stretch/>
                </pic:blipFill>
                <pic:spPr bwMode="auto">
                  <a:xfrm>
                    <a:off x="0" y="0"/>
                    <a:ext cx="907725" cy="469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D426E"/>
    <w:multiLevelType w:val="hybridMultilevel"/>
    <w:tmpl w:val="83361546"/>
    <w:lvl w:ilvl="0" w:tplc="858A614E">
      <w:start w:val="1"/>
      <w:numFmt w:val="bullet"/>
      <w:lvlText w:val="·"/>
      <w:lvlJc w:val="left"/>
      <w:pPr>
        <w:tabs>
          <w:tab w:val="left" w:pos="708"/>
          <w:tab w:val="left" w:pos="1416"/>
          <w:tab w:val="left" w:pos="2124"/>
        </w:tabs>
        <w:ind w:left="16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5A4F8E">
      <w:start w:val="1"/>
      <w:numFmt w:val="bullet"/>
      <w:lvlText w:val="o"/>
      <w:lvlJc w:val="left"/>
      <w:pPr>
        <w:tabs>
          <w:tab w:val="left" w:pos="708"/>
          <w:tab w:val="left" w:pos="1416"/>
          <w:tab w:val="left" w:pos="2124"/>
        </w:tabs>
        <w:ind w:left="88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1A65AA">
      <w:start w:val="1"/>
      <w:numFmt w:val="bullet"/>
      <w:lvlText w:val="▪"/>
      <w:lvlJc w:val="left"/>
      <w:pPr>
        <w:tabs>
          <w:tab w:val="left" w:pos="708"/>
          <w:tab w:val="left" w:pos="1416"/>
          <w:tab w:val="left" w:pos="2124"/>
        </w:tabs>
        <w:ind w:left="16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52CB6A">
      <w:start w:val="1"/>
      <w:numFmt w:val="bullet"/>
      <w:lvlText w:val="·"/>
      <w:lvlJc w:val="left"/>
      <w:pPr>
        <w:tabs>
          <w:tab w:val="left" w:pos="708"/>
          <w:tab w:val="left" w:pos="1416"/>
          <w:tab w:val="left" w:pos="2124"/>
        </w:tabs>
        <w:ind w:left="232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E8FAC0">
      <w:start w:val="1"/>
      <w:numFmt w:val="bullet"/>
      <w:lvlText w:val="o"/>
      <w:lvlJc w:val="left"/>
      <w:pPr>
        <w:tabs>
          <w:tab w:val="left" w:pos="708"/>
          <w:tab w:val="left" w:pos="1416"/>
          <w:tab w:val="left" w:pos="2124"/>
        </w:tabs>
        <w:ind w:left="304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A6C67C">
      <w:start w:val="1"/>
      <w:numFmt w:val="bullet"/>
      <w:lvlText w:val="▪"/>
      <w:lvlJc w:val="left"/>
      <w:pPr>
        <w:tabs>
          <w:tab w:val="left" w:pos="708"/>
          <w:tab w:val="left" w:pos="1416"/>
          <w:tab w:val="left" w:pos="2124"/>
        </w:tabs>
        <w:ind w:left="376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F6DFD2">
      <w:start w:val="1"/>
      <w:numFmt w:val="bullet"/>
      <w:lvlText w:val="·"/>
      <w:lvlJc w:val="left"/>
      <w:pPr>
        <w:tabs>
          <w:tab w:val="left" w:pos="708"/>
          <w:tab w:val="left" w:pos="1416"/>
          <w:tab w:val="left" w:pos="2124"/>
        </w:tabs>
        <w:ind w:left="448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02D694">
      <w:start w:val="1"/>
      <w:numFmt w:val="bullet"/>
      <w:lvlText w:val="o"/>
      <w:lvlJc w:val="left"/>
      <w:pPr>
        <w:tabs>
          <w:tab w:val="left" w:pos="708"/>
          <w:tab w:val="left" w:pos="1416"/>
          <w:tab w:val="left" w:pos="2124"/>
        </w:tabs>
        <w:ind w:left="52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DCB03E">
      <w:start w:val="1"/>
      <w:numFmt w:val="bullet"/>
      <w:lvlText w:val="▪"/>
      <w:lvlJc w:val="left"/>
      <w:pPr>
        <w:tabs>
          <w:tab w:val="left" w:pos="708"/>
          <w:tab w:val="left" w:pos="1416"/>
          <w:tab w:val="left" w:pos="2124"/>
        </w:tabs>
        <w:ind w:left="592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C91B9D"/>
    <w:multiLevelType w:val="hybridMultilevel"/>
    <w:tmpl w:val="15AEF1E2"/>
    <w:lvl w:ilvl="0" w:tplc="07440AEC">
      <w:start w:val="1"/>
      <w:numFmt w:val="bullet"/>
      <w:lvlText w:val="·"/>
      <w:lvlJc w:val="left"/>
      <w:pPr>
        <w:tabs>
          <w:tab w:val="left" w:pos="708"/>
          <w:tab w:val="left" w:pos="1416"/>
          <w:tab w:val="left" w:pos="2124"/>
        </w:tabs>
        <w:ind w:left="16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F286B2">
      <w:start w:val="1"/>
      <w:numFmt w:val="bullet"/>
      <w:suff w:val="nothing"/>
      <w:lvlText w:val="o"/>
      <w:lvlJc w:val="left"/>
      <w:pPr>
        <w:tabs>
          <w:tab w:val="left" w:pos="708"/>
          <w:tab w:val="left" w:pos="1416"/>
          <w:tab w:val="left" w:pos="2124"/>
        </w:tabs>
        <w:ind w:left="88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5EB77E">
      <w:start w:val="1"/>
      <w:numFmt w:val="bullet"/>
      <w:lvlText w:val="▪"/>
      <w:lvlJc w:val="left"/>
      <w:pPr>
        <w:tabs>
          <w:tab w:val="left" w:pos="708"/>
          <w:tab w:val="left" w:pos="2124"/>
        </w:tabs>
        <w:ind w:left="1601" w:hanging="6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56A2">
      <w:start w:val="1"/>
      <w:numFmt w:val="bullet"/>
      <w:lvlText w:val="·"/>
      <w:lvlJc w:val="left"/>
      <w:pPr>
        <w:tabs>
          <w:tab w:val="left" w:pos="708"/>
          <w:tab w:val="left" w:pos="1416"/>
          <w:tab w:val="left" w:pos="2124"/>
        </w:tabs>
        <w:ind w:left="232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0A4676">
      <w:start w:val="1"/>
      <w:numFmt w:val="bullet"/>
      <w:suff w:val="nothing"/>
      <w:lvlText w:val="o"/>
      <w:lvlJc w:val="left"/>
      <w:pPr>
        <w:tabs>
          <w:tab w:val="left" w:pos="708"/>
          <w:tab w:val="left" w:pos="1416"/>
          <w:tab w:val="left" w:pos="2124"/>
        </w:tabs>
        <w:ind w:left="304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1CE928">
      <w:start w:val="1"/>
      <w:numFmt w:val="bullet"/>
      <w:lvlText w:val="▪"/>
      <w:lvlJc w:val="left"/>
      <w:pPr>
        <w:tabs>
          <w:tab w:val="left" w:pos="708"/>
          <w:tab w:val="left" w:pos="1416"/>
          <w:tab w:val="left" w:pos="2124"/>
        </w:tabs>
        <w:ind w:left="3761" w:hanging="6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4CA83E">
      <w:start w:val="1"/>
      <w:numFmt w:val="bullet"/>
      <w:lvlText w:val="·"/>
      <w:lvlJc w:val="left"/>
      <w:pPr>
        <w:tabs>
          <w:tab w:val="left" w:pos="708"/>
          <w:tab w:val="left" w:pos="1416"/>
          <w:tab w:val="left" w:pos="2124"/>
        </w:tabs>
        <w:ind w:left="448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2CF32C">
      <w:start w:val="1"/>
      <w:numFmt w:val="bullet"/>
      <w:suff w:val="nothing"/>
      <w:lvlText w:val="o"/>
      <w:lvlJc w:val="left"/>
      <w:pPr>
        <w:tabs>
          <w:tab w:val="left" w:pos="708"/>
          <w:tab w:val="left" w:pos="1416"/>
          <w:tab w:val="left" w:pos="2124"/>
        </w:tabs>
        <w:ind w:left="520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AEADFC">
      <w:start w:val="1"/>
      <w:numFmt w:val="bullet"/>
      <w:lvlText w:val="▪"/>
      <w:lvlJc w:val="left"/>
      <w:pPr>
        <w:tabs>
          <w:tab w:val="left" w:pos="708"/>
          <w:tab w:val="left" w:pos="1416"/>
          <w:tab w:val="left" w:pos="2124"/>
        </w:tabs>
        <w:ind w:left="5921" w:hanging="5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9CB2FDB"/>
    <w:multiLevelType w:val="hybridMultilevel"/>
    <w:tmpl w:val="20A01362"/>
    <w:lvl w:ilvl="0" w:tplc="E92CC4E8">
      <w:start w:val="1"/>
      <w:numFmt w:val="bullet"/>
      <w:lvlText w:val="·"/>
      <w:lvlJc w:val="left"/>
      <w:pPr>
        <w:tabs>
          <w:tab w:val="left" w:pos="708"/>
          <w:tab w:val="left" w:pos="1416"/>
          <w:tab w:val="left" w:pos="2124"/>
        </w:tabs>
        <w:ind w:left="16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AE5594">
      <w:start w:val="1"/>
      <w:numFmt w:val="bullet"/>
      <w:lvlText w:val="o"/>
      <w:lvlJc w:val="left"/>
      <w:pPr>
        <w:tabs>
          <w:tab w:val="left" w:pos="708"/>
          <w:tab w:val="left" w:pos="1416"/>
          <w:tab w:val="left" w:pos="2124"/>
        </w:tabs>
        <w:ind w:left="88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3A2BBC">
      <w:start w:val="1"/>
      <w:numFmt w:val="bullet"/>
      <w:lvlText w:val="▪"/>
      <w:lvlJc w:val="left"/>
      <w:pPr>
        <w:tabs>
          <w:tab w:val="left" w:pos="708"/>
          <w:tab w:val="left" w:pos="1416"/>
          <w:tab w:val="left" w:pos="2124"/>
        </w:tabs>
        <w:ind w:left="16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6A3C2A">
      <w:start w:val="1"/>
      <w:numFmt w:val="bullet"/>
      <w:lvlText w:val="·"/>
      <w:lvlJc w:val="left"/>
      <w:pPr>
        <w:tabs>
          <w:tab w:val="left" w:pos="708"/>
          <w:tab w:val="left" w:pos="1416"/>
          <w:tab w:val="left" w:pos="2124"/>
        </w:tabs>
        <w:ind w:left="232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FC163A">
      <w:start w:val="1"/>
      <w:numFmt w:val="bullet"/>
      <w:lvlText w:val="o"/>
      <w:lvlJc w:val="left"/>
      <w:pPr>
        <w:tabs>
          <w:tab w:val="left" w:pos="708"/>
          <w:tab w:val="left" w:pos="1416"/>
          <w:tab w:val="left" w:pos="2124"/>
        </w:tabs>
        <w:ind w:left="304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AECA56">
      <w:start w:val="1"/>
      <w:numFmt w:val="bullet"/>
      <w:lvlText w:val="▪"/>
      <w:lvlJc w:val="left"/>
      <w:pPr>
        <w:tabs>
          <w:tab w:val="left" w:pos="708"/>
          <w:tab w:val="left" w:pos="1416"/>
          <w:tab w:val="left" w:pos="2124"/>
        </w:tabs>
        <w:ind w:left="376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965602">
      <w:start w:val="1"/>
      <w:numFmt w:val="bullet"/>
      <w:lvlText w:val="·"/>
      <w:lvlJc w:val="left"/>
      <w:pPr>
        <w:tabs>
          <w:tab w:val="left" w:pos="708"/>
          <w:tab w:val="left" w:pos="1416"/>
          <w:tab w:val="left" w:pos="2124"/>
        </w:tabs>
        <w:ind w:left="448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325CEC">
      <w:start w:val="1"/>
      <w:numFmt w:val="bullet"/>
      <w:lvlText w:val="o"/>
      <w:lvlJc w:val="left"/>
      <w:pPr>
        <w:tabs>
          <w:tab w:val="left" w:pos="708"/>
          <w:tab w:val="left" w:pos="1416"/>
          <w:tab w:val="left" w:pos="2124"/>
        </w:tabs>
        <w:ind w:left="52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8356">
      <w:start w:val="1"/>
      <w:numFmt w:val="bullet"/>
      <w:lvlText w:val="▪"/>
      <w:lvlJc w:val="left"/>
      <w:pPr>
        <w:tabs>
          <w:tab w:val="left" w:pos="708"/>
          <w:tab w:val="left" w:pos="1416"/>
          <w:tab w:val="left" w:pos="2124"/>
        </w:tabs>
        <w:ind w:left="592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2"/>
  </w:num>
  <w:num w:numId="3">
    <w:abstractNumId w:val="0"/>
  </w:num>
  <w:num w:numId="4">
    <w:abstractNumId w:val="0"/>
    <w:lvlOverride w:ilvl="0">
      <w:lvl w:ilvl="0" w:tplc="858A614E">
        <w:start w:val="1"/>
        <w:numFmt w:val="bullet"/>
        <w:lvlText w:val="·"/>
        <w:lvlJc w:val="left"/>
        <w:pPr>
          <w:tabs>
            <w:tab w:val="left" w:pos="708"/>
            <w:tab w:val="left" w:pos="1416"/>
            <w:tab w:val="left" w:pos="2124"/>
          </w:tabs>
          <w:ind w:left="18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95A4F8E">
        <w:start w:val="1"/>
        <w:numFmt w:val="bullet"/>
        <w:lvlText w:val="o"/>
        <w:lvlJc w:val="left"/>
        <w:pPr>
          <w:tabs>
            <w:tab w:val="left" w:pos="1416"/>
            <w:tab w:val="left" w:pos="2124"/>
          </w:tabs>
          <w:ind w:left="1016" w:hanging="8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761A65AA">
        <w:start w:val="1"/>
        <w:numFmt w:val="bullet"/>
        <w:lvlText w:val="▪"/>
        <w:lvlJc w:val="left"/>
        <w:pPr>
          <w:tabs>
            <w:tab w:val="left" w:pos="708"/>
            <w:tab w:val="left" w:pos="2124"/>
          </w:tabs>
          <w:ind w:left="1734" w:hanging="7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8452CB6A">
        <w:start w:val="1"/>
        <w:numFmt w:val="bullet"/>
        <w:lvlText w:val="·"/>
        <w:lvlJc w:val="left"/>
        <w:pPr>
          <w:tabs>
            <w:tab w:val="left" w:pos="708"/>
            <w:tab w:val="left" w:pos="1416"/>
            <w:tab w:val="left" w:pos="2124"/>
          </w:tabs>
          <w:ind w:left="234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18E8FAC0">
        <w:start w:val="1"/>
        <w:numFmt w:val="bullet"/>
        <w:lvlText w:val="o"/>
        <w:lvlJc w:val="left"/>
        <w:pPr>
          <w:tabs>
            <w:tab w:val="left" w:pos="708"/>
            <w:tab w:val="left" w:pos="1416"/>
            <w:tab w:val="left" w:pos="2124"/>
          </w:tabs>
          <w:ind w:left="3169" w:hanging="7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6A6C67C">
        <w:start w:val="1"/>
        <w:numFmt w:val="bullet"/>
        <w:lvlText w:val="▪"/>
        <w:lvlJc w:val="left"/>
        <w:pPr>
          <w:tabs>
            <w:tab w:val="left" w:pos="708"/>
            <w:tab w:val="left" w:pos="1416"/>
            <w:tab w:val="left" w:pos="2124"/>
          </w:tabs>
          <w:ind w:left="3887" w:hanging="7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3BF6DFD2">
        <w:start w:val="1"/>
        <w:numFmt w:val="bullet"/>
        <w:lvlText w:val="·"/>
        <w:lvlJc w:val="left"/>
        <w:pPr>
          <w:tabs>
            <w:tab w:val="left" w:pos="708"/>
            <w:tab w:val="left" w:pos="1416"/>
            <w:tab w:val="left" w:pos="2124"/>
          </w:tabs>
          <w:ind w:left="450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A02D694">
        <w:start w:val="1"/>
        <w:numFmt w:val="bullet"/>
        <w:lvlText w:val="o"/>
        <w:lvlJc w:val="left"/>
        <w:pPr>
          <w:tabs>
            <w:tab w:val="left" w:pos="708"/>
            <w:tab w:val="left" w:pos="1416"/>
            <w:tab w:val="left" w:pos="2124"/>
          </w:tabs>
          <w:ind w:left="5322" w:hanging="7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90DCB03E">
        <w:start w:val="1"/>
        <w:numFmt w:val="bullet"/>
        <w:lvlText w:val="▪"/>
        <w:lvlJc w:val="left"/>
        <w:pPr>
          <w:tabs>
            <w:tab w:val="left" w:pos="708"/>
            <w:tab w:val="left" w:pos="1416"/>
            <w:tab w:val="left" w:pos="2124"/>
          </w:tabs>
          <w:ind w:left="6040" w:hanging="7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FC5"/>
    <w:rsid w:val="000A56E3"/>
    <w:rsid w:val="000E036C"/>
    <w:rsid w:val="00431A7C"/>
    <w:rsid w:val="00B0550D"/>
    <w:rsid w:val="00CF5193"/>
    <w:rsid w:val="00E93FC5"/>
    <w:rsid w:val="00F17D9A"/>
    <w:rsid w:val="00F2717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229E1F2C"/>
  <w15:chartTrackingRefBased/>
  <w15:docId w15:val="{9028AF6E-D190-7647-B33E-F6CE7FBAD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FC5"/>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E93FC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es-ES_tradnl" w:eastAsia="es-ES_tradnl"/>
      <w14:textOutline w14:w="0" w14:cap="flat" w14:cmpd="sng" w14:algn="ctr">
        <w14:noFill/>
        <w14:prstDash w14:val="solid"/>
        <w14:bevel/>
      </w14:textOutline>
    </w:rPr>
  </w:style>
  <w:style w:type="character" w:customStyle="1" w:styleId="Ninguno">
    <w:name w:val="Ninguno"/>
    <w:rsid w:val="00E93FC5"/>
    <w:rPr>
      <w:lang w:val="es-ES_tradnl"/>
    </w:rPr>
  </w:style>
  <w:style w:type="table" w:customStyle="1" w:styleId="TableNormal">
    <w:name w:val="Table Normal"/>
    <w:rsid w:val="00E93FC5"/>
    <w:pPr>
      <w:pBdr>
        <w:top w:val="nil"/>
        <w:left w:val="nil"/>
        <w:bottom w:val="nil"/>
        <w:right w:val="nil"/>
        <w:between w:val="nil"/>
        <w:bar w:val="nil"/>
      </w:pBdr>
    </w:pPr>
    <w:rPr>
      <w:rFonts w:ascii="Times New Roman" w:eastAsia="Arial Unicode MS" w:hAnsi="Times New Roman" w:cs="Times New Roman"/>
      <w:sz w:val="20"/>
      <w:szCs w:val="20"/>
      <w:bdr w:val="nil"/>
      <w:lang w:eastAsia="es-ES_tradnl"/>
    </w:rPr>
    <w:tblPr>
      <w:tblInd w:w="0" w:type="dxa"/>
      <w:tblCellMar>
        <w:top w:w="0" w:type="dxa"/>
        <w:left w:w="0" w:type="dxa"/>
        <w:bottom w:w="0" w:type="dxa"/>
        <w:right w:w="0" w:type="dxa"/>
      </w:tblCellMar>
    </w:tblPr>
  </w:style>
  <w:style w:type="paragraph" w:customStyle="1" w:styleId="Cuerpo">
    <w:name w:val="Cuerpo"/>
    <w:rsid w:val="00E93FC5"/>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es-ES_tradnl"/>
      <w14:textOutline w14:w="0" w14:cap="flat" w14:cmpd="sng" w14:algn="ctr">
        <w14:noFill/>
        <w14:prstDash w14:val="solid"/>
        <w14:bevel/>
      </w14:textOutline>
    </w:rPr>
  </w:style>
  <w:style w:type="paragraph" w:customStyle="1" w:styleId="Estilodetabla3A">
    <w:name w:val="Estilo de tabla 3 A"/>
    <w:rsid w:val="00E93FC5"/>
    <w:pPr>
      <w:keepNext/>
      <w:pBdr>
        <w:top w:val="nil"/>
        <w:left w:val="nil"/>
        <w:bottom w:val="nil"/>
        <w:right w:val="nil"/>
        <w:between w:val="nil"/>
        <w:bar w:val="nil"/>
      </w:pBdr>
    </w:pPr>
    <w:rPr>
      <w:rFonts w:ascii="Helvetica Neue" w:eastAsia="Arial Unicode MS" w:hAnsi="Helvetica Neue" w:cs="Arial Unicode MS"/>
      <w:b/>
      <w:bCs/>
      <w:color w:val="FFFFFF"/>
      <w:sz w:val="20"/>
      <w:szCs w:val="20"/>
      <w:u w:color="FFFFFF"/>
      <w:bdr w:val="nil"/>
      <w:lang w:val="es-ES_tradnl" w:eastAsia="es-ES_tradnl"/>
      <w14:textOutline w14:w="12700" w14:cap="flat" w14:cmpd="sng" w14:algn="ctr">
        <w14:noFill/>
        <w14:prstDash w14:val="solid"/>
        <w14:miter w14:lim="400000"/>
      </w14:textOutline>
    </w:rPr>
  </w:style>
  <w:style w:type="paragraph" w:customStyle="1" w:styleId="Estilodetabla2A">
    <w:name w:val="Estilo de tabla 2 A"/>
    <w:rsid w:val="00E93FC5"/>
    <w:pPr>
      <w:pBdr>
        <w:top w:val="nil"/>
        <w:left w:val="nil"/>
        <w:bottom w:val="nil"/>
        <w:right w:val="nil"/>
        <w:between w:val="nil"/>
        <w:bar w:val="nil"/>
      </w:pBdr>
    </w:pPr>
    <w:rPr>
      <w:rFonts w:ascii="Helvetica Neue" w:eastAsia="Arial Unicode MS" w:hAnsi="Helvetica Neue" w:cs="Arial Unicode MS"/>
      <w:color w:val="000000"/>
      <w:sz w:val="20"/>
      <w:szCs w:val="20"/>
      <w:u w:color="000000"/>
      <w:bdr w:val="nil"/>
      <w:lang w:val="es-ES_tradnl" w:eastAsia="es-ES_tradnl"/>
      <w14:textOutline w14:w="12700" w14:cap="flat" w14:cmpd="sng" w14:algn="ctr">
        <w14:noFill/>
        <w14:prstDash w14:val="solid"/>
        <w14:miter w14:lim="400000"/>
      </w14:textOutline>
    </w:rPr>
  </w:style>
  <w:style w:type="paragraph" w:styleId="NormalWeb">
    <w:name w:val="Normal (Web)"/>
    <w:basedOn w:val="Normal"/>
    <w:uiPriority w:val="99"/>
    <w:unhideWhenUsed/>
    <w:rsid w:val="00E93FC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CO" w:eastAsia="es-ES_tradnl"/>
    </w:rPr>
  </w:style>
  <w:style w:type="paragraph" w:styleId="Encabezado">
    <w:name w:val="header"/>
    <w:basedOn w:val="Normal"/>
    <w:link w:val="EncabezadoCar"/>
    <w:uiPriority w:val="99"/>
    <w:unhideWhenUsed/>
    <w:rsid w:val="00431A7C"/>
    <w:pPr>
      <w:tabs>
        <w:tab w:val="center" w:pos="4252"/>
        <w:tab w:val="right" w:pos="8504"/>
      </w:tabs>
    </w:pPr>
  </w:style>
  <w:style w:type="character" w:customStyle="1" w:styleId="EncabezadoCar">
    <w:name w:val="Encabezado Car"/>
    <w:basedOn w:val="Fuentedeprrafopredeter"/>
    <w:link w:val="Encabezado"/>
    <w:uiPriority w:val="99"/>
    <w:rsid w:val="00431A7C"/>
    <w:rPr>
      <w:rFonts w:ascii="Times New Roman" w:eastAsia="Arial Unicode MS" w:hAnsi="Times New Roman" w:cs="Times New Roman"/>
      <w:bdr w:val="nil"/>
      <w:lang w:val="en-US"/>
    </w:rPr>
  </w:style>
  <w:style w:type="paragraph" w:styleId="Piedepgina">
    <w:name w:val="footer"/>
    <w:basedOn w:val="Normal"/>
    <w:link w:val="PiedepginaCar"/>
    <w:uiPriority w:val="99"/>
    <w:unhideWhenUsed/>
    <w:rsid w:val="00431A7C"/>
    <w:pPr>
      <w:tabs>
        <w:tab w:val="center" w:pos="4252"/>
        <w:tab w:val="right" w:pos="8504"/>
      </w:tabs>
    </w:pPr>
  </w:style>
  <w:style w:type="character" w:customStyle="1" w:styleId="PiedepginaCar">
    <w:name w:val="Pie de página Car"/>
    <w:basedOn w:val="Fuentedeprrafopredeter"/>
    <w:link w:val="Piedepgina"/>
    <w:uiPriority w:val="99"/>
    <w:rsid w:val="00431A7C"/>
    <w:rPr>
      <w:rFonts w:ascii="Times New Roman" w:eastAsia="Arial Unicode MS" w:hAnsi="Times New Roman" w:cs="Times New Roman"/>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1875</Words>
  <Characters>10313</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Guzman Morales</dc:creator>
  <cp:keywords/>
  <dc:description/>
  <cp:lastModifiedBy>Hernan Guzman Morales</cp:lastModifiedBy>
  <cp:revision>5</cp:revision>
  <dcterms:created xsi:type="dcterms:W3CDTF">2021-08-31T15:32:00Z</dcterms:created>
  <dcterms:modified xsi:type="dcterms:W3CDTF">2021-08-31T15:47:00Z</dcterms:modified>
</cp:coreProperties>
</file>